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08" w:rsidRDefault="00B75A90" w:rsidP="001C55F8">
      <w:pPr>
        <w:jc w:val="center"/>
        <w:rPr>
          <w:rFonts w:ascii="Times New Roman" w:hAnsi="Times New Roman" w:cs="Times New Roman"/>
          <w:b/>
        </w:rPr>
      </w:pPr>
      <w:r w:rsidRPr="007C5F78">
        <w:rPr>
          <w:rFonts w:ascii="Times New Roman" w:hAnsi="Times New Roman" w:cs="Times New Roman"/>
          <w:b/>
        </w:rPr>
        <w:t xml:space="preserve">3. OBRAZLOŽENJE GODIŠNJEG IZVJEŠTAJA O IZVRŠENJU FINANCIJSKOG PLANA                                  OSNOVNE ŠKOLE SVETI PETAR OREHOVEC </w:t>
      </w:r>
      <w:r w:rsidR="004E3608">
        <w:rPr>
          <w:rFonts w:ascii="Times New Roman" w:hAnsi="Times New Roman" w:cs="Times New Roman"/>
          <w:b/>
        </w:rPr>
        <w:t>ZA 202</w:t>
      </w:r>
      <w:r w:rsidR="00842DC5">
        <w:rPr>
          <w:rFonts w:ascii="Times New Roman" w:hAnsi="Times New Roman" w:cs="Times New Roman"/>
          <w:b/>
        </w:rPr>
        <w:t>5</w:t>
      </w:r>
      <w:r w:rsidR="004E3608">
        <w:rPr>
          <w:rFonts w:ascii="Times New Roman" w:hAnsi="Times New Roman" w:cs="Times New Roman"/>
          <w:b/>
        </w:rPr>
        <w:t>. GODINU</w:t>
      </w:r>
      <w:r w:rsidRPr="007C5F7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:rsidR="0075785E" w:rsidRPr="007C5F78" w:rsidRDefault="00B75A90" w:rsidP="001C55F8">
      <w:pPr>
        <w:jc w:val="center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Članak 4.</w:t>
      </w:r>
    </w:p>
    <w:p w:rsidR="00B34A1A" w:rsidRPr="007C5F78" w:rsidRDefault="0075785E" w:rsidP="0075785E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Prema Pravilniku o polugodišnjem i godišnjem izvještaju o izvršenju proračuna i financijskog plana (NN 85/2023</w:t>
      </w:r>
      <w:r w:rsidR="00B34A1A" w:rsidRPr="007C5F78">
        <w:rPr>
          <w:rFonts w:ascii="Times New Roman" w:hAnsi="Times New Roman" w:cs="Times New Roman"/>
        </w:rPr>
        <w:t>, Članak 17.)</w:t>
      </w:r>
      <w:r w:rsidRPr="007C5F78">
        <w:rPr>
          <w:rFonts w:ascii="Times New Roman" w:hAnsi="Times New Roman" w:cs="Times New Roman"/>
        </w:rPr>
        <w:t xml:space="preserve"> </w:t>
      </w:r>
      <w:r w:rsidR="00B34A1A" w:rsidRPr="007C5F78">
        <w:rPr>
          <w:rFonts w:ascii="Times New Roman" w:hAnsi="Times New Roman" w:cs="Times New Roman"/>
        </w:rPr>
        <w:t>o</w:t>
      </w:r>
      <w:r w:rsidRPr="007C5F78">
        <w:rPr>
          <w:rFonts w:ascii="Times New Roman" w:hAnsi="Times New Roman" w:cs="Times New Roman"/>
        </w:rPr>
        <w:t xml:space="preserve">brazloženje u </w:t>
      </w:r>
      <w:r w:rsidR="00B34A1A" w:rsidRPr="007C5F78">
        <w:rPr>
          <w:rFonts w:ascii="Times New Roman" w:hAnsi="Times New Roman" w:cs="Times New Roman"/>
        </w:rPr>
        <w:t>godišnjem</w:t>
      </w:r>
      <w:r w:rsidRPr="007C5F78">
        <w:rPr>
          <w:rFonts w:ascii="Times New Roman" w:hAnsi="Times New Roman" w:cs="Times New Roman"/>
        </w:rPr>
        <w:t xml:space="preserve"> izvještaju o izvršenju financijskog plana proračunskog korisnika sastoji se od obrazloženja općeg</w:t>
      </w:r>
      <w:r w:rsidR="00B34A1A" w:rsidRPr="007C5F78">
        <w:rPr>
          <w:rFonts w:ascii="Times New Roman" w:hAnsi="Times New Roman" w:cs="Times New Roman"/>
        </w:rPr>
        <w:t xml:space="preserve"> i posebnog </w:t>
      </w:r>
      <w:r w:rsidRPr="007C5F78">
        <w:rPr>
          <w:rFonts w:ascii="Times New Roman" w:hAnsi="Times New Roman" w:cs="Times New Roman"/>
        </w:rPr>
        <w:t xml:space="preserve">dijela izvještaja o izvršenju financijskog plana. </w:t>
      </w:r>
    </w:p>
    <w:p w:rsidR="00B34A1A" w:rsidRPr="007C5F78" w:rsidRDefault="00B34A1A" w:rsidP="0075785E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3.1. Obrazloženje općeg djela izvještaja o izvršenju financijskog plana </w:t>
      </w:r>
    </w:p>
    <w:p w:rsidR="0075785E" w:rsidRPr="007C5F78" w:rsidRDefault="0075785E" w:rsidP="0075785E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Financijski plan Osnovne škole Sveti Petar Orehovec za 202</w:t>
      </w:r>
      <w:r w:rsidR="00733548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godinu i projekcije za 202</w:t>
      </w:r>
      <w:r w:rsidR="00733548">
        <w:rPr>
          <w:rFonts w:ascii="Times New Roman" w:hAnsi="Times New Roman" w:cs="Times New Roman"/>
        </w:rPr>
        <w:t>6</w:t>
      </w:r>
      <w:r w:rsidRPr="007C5F78">
        <w:rPr>
          <w:rFonts w:ascii="Times New Roman" w:hAnsi="Times New Roman" w:cs="Times New Roman"/>
        </w:rPr>
        <w:t>. i 202</w:t>
      </w:r>
      <w:r w:rsidR="00733548">
        <w:rPr>
          <w:rFonts w:ascii="Times New Roman" w:hAnsi="Times New Roman" w:cs="Times New Roman"/>
        </w:rPr>
        <w:t>7</w:t>
      </w:r>
      <w:r w:rsidRPr="007C5F78">
        <w:rPr>
          <w:rFonts w:ascii="Times New Roman" w:hAnsi="Times New Roman" w:cs="Times New Roman"/>
        </w:rPr>
        <w:t xml:space="preserve">. godinu usvojen je na </w:t>
      </w:r>
      <w:r w:rsidR="00733548">
        <w:rPr>
          <w:rFonts w:ascii="Times New Roman" w:hAnsi="Times New Roman" w:cs="Times New Roman"/>
        </w:rPr>
        <w:t>Županijskoj skupštini, te na 52</w:t>
      </w:r>
      <w:r w:rsidRPr="007C5F78">
        <w:rPr>
          <w:rFonts w:ascii="Times New Roman" w:hAnsi="Times New Roman" w:cs="Times New Roman"/>
        </w:rPr>
        <w:t xml:space="preserve">. sjednici Školskog odbora Osnovne škole Sveti Petar Orehovec održanoj </w:t>
      </w:r>
      <w:r w:rsidR="00733548">
        <w:rPr>
          <w:rFonts w:ascii="Times New Roman" w:hAnsi="Times New Roman" w:cs="Times New Roman"/>
        </w:rPr>
        <w:t>19</w:t>
      </w:r>
      <w:r w:rsidRPr="007C5F78">
        <w:rPr>
          <w:rFonts w:ascii="Times New Roman" w:hAnsi="Times New Roman" w:cs="Times New Roman"/>
        </w:rPr>
        <w:t>. prosinca 202</w:t>
      </w:r>
      <w:r w:rsidR="00733548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 xml:space="preserve">. godine. </w:t>
      </w:r>
    </w:p>
    <w:p w:rsidR="0075785E" w:rsidRPr="007C5F78" w:rsidRDefault="0075785E" w:rsidP="0075785E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I. izmjene i dopune financijskog plana Osnovne škole Sveti Petar Orehovec za 202</w:t>
      </w:r>
      <w:r w:rsidR="00733548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godinu i projekcije za 202</w:t>
      </w:r>
      <w:r w:rsidR="00733548">
        <w:rPr>
          <w:rFonts w:ascii="Times New Roman" w:hAnsi="Times New Roman" w:cs="Times New Roman"/>
        </w:rPr>
        <w:t>6</w:t>
      </w:r>
      <w:r w:rsidRPr="007C5F78">
        <w:rPr>
          <w:rFonts w:ascii="Times New Roman" w:hAnsi="Times New Roman" w:cs="Times New Roman"/>
        </w:rPr>
        <w:t>. i 202</w:t>
      </w:r>
      <w:r w:rsidR="00733548">
        <w:rPr>
          <w:rFonts w:ascii="Times New Roman" w:hAnsi="Times New Roman" w:cs="Times New Roman"/>
        </w:rPr>
        <w:t>7</w:t>
      </w:r>
      <w:r w:rsidRPr="007C5F78">
        <w:rPr>
          <w:rFonts w:ascii="Times New Roman" w:hAnsi="Times New Roman" w:cs="Times New Roman"/>
        </w:rPr>
        <w:t xml:space="preserve">. godinu stupile su na snagu </w:t>
      </w:r>
      <w:r w:rsidR="00682797">
        <w:rPr>
          <w:rFonts w:ascii="Times New Roman" w:hAnsi="Times New Roman" w:cs="Times New Roman"/>
        </w:rPr>
        <w:t>8</w:t>
      </w:r>
      <w:r w:rsidRPr="007C5F78">
        <w:rPr>
          <w:rFonts w:ascii="Times New Roman" w:hAnsi="Times New Roman" w:cs="Times New Roman"/>
        </w:rPr>
        <w:t xml:space="preserve">. </w:t>
      </w:r>
      <w:r w:rsidR="00682797">
        <w:rPr>
          <w:rFonts w:ascii="Times New Roman" w:hAnsi="Times New Roman" w:cs="Times New Roman"/>
        </w:rPr>
        <w:t>studenoga</w:t>
      </w:r>
      <w:r w:rsidRPr="007C5F78">
        <w:rPr>
          <w:rFonts w:ascii="Times New Roman" w:hAnsi="Times New Roman" w:cs="Times New Roman"/>
        </w:rPr>
        <w:t xml:space="preserve"> 202</w:t>
      </w:r>
      <w:r w:rsidR="00682797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 xml:space="preserve">. godine usvajanjem Županijske skupštine.  </w:t>
      </w:r>
    </w:p>
    <w:p w:rsidR="008B5150" w:rsidRPr="007C5F78" w:rsidRDefault="008B5150" w:rsidP="008B5150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Sadržaj godišnjeg izvještaja o izvršenju</w:t>
      </w:r>
      <w:r w:rsidR="00F77858" w:rsidRPr="007C5F78">
        <w:rPr>
          <w:rFonts w:ascii="Times New Roman" w:hAnsi="Times New Roman" w:cs="Times New Roman"/>
        </w:rPr>
        <w:t xml:space="preserve"> f</w:t>
      </w:r>
      <w:r w:rsidRPr="007C5F78">
        <w:rPr>
          <w:rFonts w:ascii="Times New Roman" w:hAnsi="Times New Roman" w:cs="Times New Roman"/>
        </w:rPr>
        <w:t>inancijskog plana Osnovne škole Sveti Petar Orehovec za 202</w:t>
      </w:r>
      <w:r w:rsidR="00682797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godinu prikazuje ukupno ostvarene prihode i rashode prema ekonomskoj klasifikaciji, njihovu raspodjelu prema izvorima financiranja i prema funkcijskoj klasifikaciji (Opći dio), te izvršenje rashoda prema programskoj klasifikaciji (Posebni dio).</w:t>
      </w:r>
    </w:p>
    <w:p w:rsidR="008B5150" w:rsidRPr="007C5F78" w:rsidRDefault="008B5150" w:rsidP="008B5150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Osnovna škola Sveti Petar Orehovec u 202</w:t>
      </w:r>
      <w:r w:rsidR="00682797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ni u 202</w:t>
      </w:r>
      <w:r w:rsidR="00682797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 xml:space="preserve">. godini nije ostvarila primitke niti izdatke od financijske imovine i zaduživanja. </w:t>
      </w:r>
    </w:p>
    <w:p w:rsidR="001C55F8" w:rsidRDefault="008B5150" w:rsidP="008B5150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U nastavku je dana usporedba izvršenja prihoda i rashoda u 202</w:t>
      </w:r>
      <w:r w:rsidR="00682797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i 202</w:t>
      </w:r>
      <w:r w:rsidR="00682797">
        <w:rPr>
          <w:rFonts w:ascii="Times New Roman" w:hAnsi="Times New Roman" w:cs="Times New Roman"/>
        </w:rPr>
        <w:t>5</w:t>
      </w:r>
      <w:r w:rsidR="00F77858" w:rsidRPr="007C5F78">
        <w:rPr>
          <w:rFonts w:ascii="Times New Roman" w:hAnsi="Times New Roman" w:cs="Times New Roman"/>
        </w:rPr>
        <w:t xml:space="preserve"> </w:t>
      </w:r>
      <w:r w:rsidRPr="007C5F78">
        <w:rPr>
          <w:rFonts w:ascii="Times New Roman" w:hAnsi="Times New Roman" w:cs="Times New Roman"/>
        </w:rPr>
        <w:t>. godi</w:t>
      </w:r>
      <w:r w:rsidR="00EE5295" w:rsidRPr="007C5F78">
        <w:rPr>
          <w:rFonts w:ascii="Times New Roman" w:hAnsi="Times New Roman" w:cs="Times New Roman"/>
        </w:rPr>
        <w:t>ni.</w:t>
      </w:r>
    </w:p>
    <w:p w:rsidR="007C5F78" w:rsidRPr="007C5F78" w:rsidRDefault="007C5F78" w:rsidP="008B5150">
      <w:pPr>
        <w:jc w:val="both"/>
        <w:rPr>
          <w:rFonts w:ascii="Times New Roman" w:hAnsi="Times New Roman" w:cs="Times New Roman"/>
        </w:rPr>
      </w:pPr>
    </w:p>
    <w:p w:rsidR="00EE5295" w:rsidRPr="007C5F78" w:rsidRDefault="00EE5295" w:rsidP="008B5150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Tabela 1. Pregled prihoda i rashoda ostvarenih u 202</w:t>
      </w:r>
      <w:r w:rsidR="00682797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i 202</w:t>
      </w:r>
      <w:r w:rsidR="00682797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E5295" w:rsidRPr="007C5F78" w:rsidTr="003F082A">
        <w:tc>
          <w:tcPr>
            <w:tcW w:w="3020" w:type="dxa"/>
            <w:shd w:val="clear" w:color="auto" w:fill="D9E2F3" w:themeFill="accent1" w:themeFillTint="33"/>
          </w:tcPr>
          <w:p w:rsidR="00EE5295" w:rsidRPr="007C5F78" w:rsidRDefault="00EE5295" w:rsidP="008B51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D9E2F3" w:themeFill="accent1" w:themeFillTint="33"/>
          </w:tcPr>
          <w:p w:rsidR="00EE5295" w:rsidRPr="007C5F78" w:rsidRDefault="00EE5295" w:rsidP="00EE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202</w:t>
            </w:r>
            <w:r w:rsidR="00682797">
              <w:rPr>
                <w:rFonts w:ascii="Times New Roman" w:hAnsi="Times New Roman" w:cs="Times New Roman"/>
                <w:b/>
              </w:rPr>
              <w:t>4</w:t>
            </w:r>
            <w:r w:rsidRPr="007C5F78">
              <w:rPr>
                <w:rFonts w:ascii="Times New Roman" w:hAnsi="Times New Roman" w:cs="Times New Roman"/>
                <w:b/>
              </w:rPr>
              <w:t>. godina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EE5295" w:rsidRPr="007C5F78" w:rsidRDefault="00EE5295" w:rsidP="00EE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202</w:t>
            </w:r>
            <w:r w:rsidR="00682797">
              <w:rPr>
                <w:rFonts w:ascii="Times New Roman" w:hAnsi="Times New Roman" w:cs="Times New Roman"/>
                <w:b/>
              </w:rPr>
              <w:t>5</w:t>
            </w:r>
            <w:r w:rsidRPr="007C5F78">
              <w:rPr>
                <w:rFonts w:ascii="Times New Roman" w:hAnsi="Times New Roman" w:cs="Times New Roman"/>
                <w:b/>
              </w:rPr>
              <w:t>. godina</w:t>
            </w:r>
          </w:p>
        </w:tc>
      </w:tr>
      <w:tr w:rsidR="00EE5295" w:rsidRPr="007C5F78" w:rsidTr="00682797">
        <w:tc>
          <w:tcPr>
            <w:tcW w:w="3020" w:type="dxa"/>
            <w:shd w:val="clear" w:color="auto" w:fill="FFFFFF" w:themeFill="background1"/>
          </w:tcPr>
          <w:p w:rsidR="00EE5295" w:rsidRPr="007C5F78" w:rsidRDefault="00EE5295" w:rsidP="008B5150">
            <w:pPr>
              <w:jc w:val="both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 xml:space="preserve">Prihodi </w:t>
            </w:r>
          </w:p>
        </w:tc>
        <w:tc>
          <w:tcPr>
            <w:tcW w:w="3021" w:type="dxa"/>
            <w:shd w:val="clear" w:color="auto" w:fill="8EAADB" w:themeFill="accent1" w:themeFillTint="99"/>
          </w:tcPr>
          <w:p w:rsidR="00EE5295" w:rsidRPr="007C5F78" w:rsidRDefault="00682797" w:rsidP="001C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1.918.292,85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:rsidR="00DF5974" w:rsidRPr="007C5F78" w:rsidRDefault="00DF5974" w:rsidP="00DF5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1.853.228,05</w:t>
            </w:r>
          </w:p>
        </w:tc>
      </w:tr>
      <w:tr w:rsidR="00EE5295" w:rsidRPr="007C5F78" w:rsidTr="00682797">
        <w:tc>
          <w:tcPr>
            <w:tcW w:w="3020" w:type="dxa"/>
            <w:shd w:val="clear" w:color="auto" w:fill="FFFFFF" w:themeFill="background1"/>
          </w:tcPr>
          <w:p w:rsidR="00EE5295" w:rsidRPr="007C5F78" w:rsidRDefault="00EE5295" w:rsidP="008B5150">
            <w:pPr>
              <w:jc w:val="both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 xml:space="preserve">Rashodi </w:t>
            </w:r>
          </w:p>
        </w:tc>
        <w:tc>
          <w:tcPr>
            <w:tcW w:w="3021" w:type="dxa"/>
            <w:shd w:val="clear" w:color="auto" w:fill="8EAADB" w:themeFill="accent1" w:themeFillTint="99"/>
          </w:tcPr>
          <w:p w:rsidR="00EE5295" w:rsidRPr="007C5F78" w:rsidRDefault="00682797" w:rsidP="001C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1.876.967,50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EE5295" w:rsidRPr="007C5F78" w:rsidRDefault="00DF5974" w:rsidP="001C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2.006.521,57</w:t>
            </w:r>
          </w:p>
        </w:tc>
      </w:tr>
    </w:tbl>
    <w:p w:rsidR="001C55F8" w:rsidRPr="007C5F78" w:rsidRDefault="001C55F8" w:rsidP="0075785E">
      <w:pPr>
        <w:jc w:val="both"/>
        <w:rPr>
          <w:rFonts w:ascii="Times New Roman" w:hAnsi="Times New Roman" w:cs="Times New Roman"/>
        </w:rPr>
      </w:pPr>
    </w:p>
    <w:p w:rsidR="001C55F8" w:rsidRPr="007C5F78" w:rsidRDefault="001C55F8" w:rsidP="0075785E">
      <w:pPr>
        <w:jc w:val="both"/>
        <w:rPr>
          <w:rFonts w:ascii="Times New Roman" w:hAnsi="Times New Roman" w:cs="Times New Roman"/>
        </w:rPr>
      </w:pPr>
    </w:p>
    <w:p w:rsidR="00DF5974" w:rsidRDefault="00EE5295" w:rsidP="001C55F8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Grafikon 1. Usporedba prihoda i rashoda za 202</w:t>
      </w:r>
      <w:r w:rsidR="003D21EF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i 202</w:t>
      </w:r>
      <w:r w:rsidR="003D21EF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godinu</w:t>
      </w:r>
    </w:p>
    <w:p w:rsidR="003D21EF" w:rsidRDefault="003D21EF" w:rsidP="00F579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786130</wp:posOffset>
            </wp:positionH>
            <wp:positionV relativeFrom="paragraph">
              <wp:posOffset>8890</wp:posOffset>
            </wp:positionV>
            <wp:extent cx="4181475" cy="2409825"/>
            <wp:effectExtent l="0" t="0" r="9525" b="9525"/>
            <wp:wrapSquare wrapText="bothSides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974">
        <w:rPr>
          <w:rFonts w:ascii="Times New Roman" w:hAnsi="Times New Roman" w:cs="Times New Roman"/>
        </w:rPr>
        <w:br w:type="textWrapping" w:clear="all"/>
      </w:r>
      <w:bookmarkStart w:id="0" w:name="_Hlk192667024"/>
    </w:p>
    <w:p w:rsidR="00BC7C15" w:rsidRDefault="00C25A36" w:rsidP="00F57969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lastRenderedPageBreak/>
        <w:t>3.1.1. Obrazloženje ostvarenja prihoda</w:t>
      </w:r>
    </w:p>
    <w:p w:rsidR="00A331AB" w:rsidRPr="007C5F78" w:rsidRDefault="00A331AB" w:rsidP="00F57969">
      <w:pPr>
        <w:jc w:val="both"/>
        <w:rPr>
          <w:rFonts w:ascii="Times New Roman" w:hAnsi="Times New Roman" w:cs="Times New Roman"/>
        </w:rPr>
      </w:pPr>
    </w:p>
    <w:bookmarkEnd w:id="0"/>
    <w:p w:rsidR="00A331AB" w:rsidRDefault="00BC7C15" w:rsidP="00F57969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U Financijskom planu Osnovne škole Sveti Petar Orehovec ukupni prihodi planirani su u iznosu od </w:t>
      </w:r>
      <w:r w:rsidR="003D21EF">
        <w:rPr>
          <w:rFonts w:ascii="Times New Roman" w:hAnsi="Times New Roman" w:cs="Times New Roman"/>
        </w:rPr>
        <w:t>2.050.065,11</w:t>
      </w:r>
      <w:r w:rsidRPr="007C5F78">
        <w:rPr>
          <w:rFonts w:ascii="Times New Roman" w:hAnsi="Times New Roman" w:cs="Times New Roman"/>
        </w:rPr>
        <w:t xml:space="preserve">, a ostvareni su u iznosu od </w:t>
      </w:r>
      <w:r w:rsidR="003D21EF">
        <w:rPr>
          <w:rFonts w:ascii="Times New Roman" w:hAnsi="Times New Roman" w:cs="Times New Roman"/>
        </w:rPr>
        <w:t xml:space="preserve">1.853.228,05 </w:t>
      </w:r>
      <w:r w:rsidRPr="007C5F78">
        <w:rPr>
          <w:rFonts w:ascii="Times New Roman" w:hAnsi="Times New Roman" w:cs="Times New Roman"/>
        </w:rPr>
        <w:t xml:space="preserve">eura, odnosno </w:t>
      </w:r>
      <w:r w:rsidR="003D21EF">
        <w:rPr>
          <w:rFonts w:ascii="Times New Roman" w:hAnsi="Times New Roman" w:cs="Times New Roman"/>
        </w:rPr>
        <w:t>90,40</w:t>
      </w:r>
      <w:r w:rsidRPr="007C5F78">
        <w:rPr>
          <w:rFonts w:ascii="Times New Roman" w:hAnsi="Times New Roman" w:cs="Times New Roman"/>
        </w:rPr>
        <w:t>% godišnjeg plana.</w:t>
      </w:r>
    </w:p>
    <w:p w:rsidR="00BC7C15" w:rsidRPr="007C5F78" w:rsidRDefault="00BC7C15" w:rsidP="00F57969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 </w:t>
      </w:r>
      <w:r w:rsidR="001C55F8" w:rsidRPr="007C5F78">
        <w:rPr>
          <w:rFonts w:ascii="Times New Roman" w:hAnsi="Times New Roman" w:cs="Times New Roman"/>
        </w:rPr>
        <w:t xml:space="preserve"> </w:t>
      </w:r>
    </w:p>
    <w:p w:rsidR="00BC7C15" w:rsidRPr="007C5F78" w:rsidRDefault="00BC7C15" w:rsidP="001C55F8">
      <w:pPr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Tabela 2. Pregled prihoda poslovanja ostvarenih u 202</w:t>
      </w:r>
      <w:r w:rsidR="003D21EF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i 202</w:t>
      </w:r>
      <w:r w:rsidR="003D21EF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270"/>
      </w:tblGrid>
      <w:tr w:rsidR="00BC7C15" w:rsidRPr="007C5F78" w:rsidTr="003F082A">
        <w:tc>
          <w:tcPr>
            <w:tcW w:w="3823" w:type="dxa"/>
            <w:shd w:val="clear" w:color="auto" w:fill="D9E2F3" w:themeFill="accent1" w:themeFillTint="33"/>
          </w:tcPr>
          <w:p w:rsidR="00BC7C15" w:rsidRPr="007C5F78" w:rsidRDefault="00BC7C15" w:rsidP="003E1BF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92667596"/>
            <w:r w:rsidRPr="007C5F78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:rsidR="00BC7C15" w:rsidRPr="007C5F78" w:rsidRDefault="00BC7C15" w:rsidP="003E1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Izvršenje 202</w:t>
            </w:r>
            <w:r w:rsidR="003D21EF">
              <w:rPr>
                <w:rFonts w:ascii="Times New Roman" w:hAnsi="Times New Roman" w:cs="Times New Roman"/>
                <w:b/>
              </w:rPr>
              <w:t>4</w:t>
            </w:r>
            <w:r w:rsidRPr="007C5F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C7C15" w:rsidRPr="007C5F78" w:rsidRDefault="00BC7C15" w:rsidP="003E1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Izvršenje 202</w:t>
            </w:r>
            <w:r w:rsidR="003D21EF">
              <w:rPr>
                <w:rFonts w:ascii="Times New Roman" w:hAnsi="Times New Roman" w:cs="Times New Roman"/>
                <w:b/>
              </w:rPr>
              <w:t>5</w:t>
            </w:r>
            <w:r w:rsidRPr="007C5F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0" w:type="dxa"/>
            <w:shd w:val="clear" w:color="auto" w:fill="D9E2F3" w:themeFill="accent1" w:themeFillTint="33"/>
          </w:tcPr>
          <w:p w:rsidR="00BC7C15" w:rsidRPr="007C5F78" w:rsidRDefault="00BC7C15" w:rsidP="003E1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Struktura</w:t>
            </w:r>
          </w:p>
        </w:tc>
      </w:tr>
      <w:tr w:rsidR="00FF4743" w:rsidRPr="007C5F78" w:rsidTr="003E1BFD">
        <w:tc>
          <w:tcPr>
            <w:tcW w:w="3823" w:type="dxa"/>
          </w:tcPr>
          <w:p w:rsidR="00FF4743" w:rsidRPr="007C5F78" w:rsidRDefault="00FF4743" w:rsidP="00FF4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FF4743" w:rsidRPr="007C5F78" w:rsidRDefault="00FF4743" w:rsidP="00FF4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FF4743" w:rsidRPr="007C5F78" w:rsidRDefault="00FF4743" w:rsidP="00FF4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0" w:type="dxa"/>
          </w:tcPr>
          <w:p w:rsidR="00FF4743" w:rsidRPr="007C5F78" w:rsidRDefault="00FF4743" w:rsidP="00FF4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D21EF" w:rsidRPr="007C5F78" w:rsidTr="003E1BFD">
        <w:tc>
          <w:tcPr>
            <w:tcW w:w="3823" w:type="dxa"/>
          </w:tcPr>
          <w:p w:rsidR="003D21EF" w:rsidRPr="007C5F78" w:rsidRDefault="003D21EF" w:rsidP="003D21EF">
            <w:pPr>
              <w:rPr>
                <w:rFonts w:ascii="Times New Roman" w:hAnsi="Times New Roman" w:cs="Times New Roman"/>
                <w:b/>
              </w:rPr>
            </w:pPr>
            <w:bookmarkStart w:id="2" w:name="_Hlk223683658"/>
            <w:r w:rsidRPr="007C5F78">
              <w:rPr>
                <w:rFonts w:ascii="Times New Roman" w:hAnsi="Times New Roman" w:cs="Times New Roman"/>
                <w:b/>
              </w:rPr>
              <w:t>Prihodi</w:t>
            </w:r>
          </w:p>
        </w:tc>
        <w:tc>
          <w:tcPr>
            <w:tcW w:w="1984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1.918.292,85</w:t>
            </w:r>
          </w:p>
        </w:tc>
        <w:tc>
          <w:tcPr>
            <w:tcW w:w="1985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1.853.228,05</w:t>
            </w:r>
          </w:p>
        </w:tc>
        <w:tc>
          <w:tcPr>
            <w:tcW w:w="1270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96,61</w:t>
            </w:r>
            <w:r w:rsidR="003D21EF" w:rsidRPr="007C5F7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D21EF" w:rsidRPr="007C5F78" w:rsidTr="003E1BFD">
        <w:tc>
          <w:tcPr>
            <w:tcW w:w="3823" w:type="dxa"/>
          </w:tcPr>
          <w:p w:rsidR="003D21EF" w:rsidRPr="007C5F78" w:rsidRDefault="003D21EF" w:rsidP="003D21E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Pomoći iz inozemstva i od subjekata unutar općeg proračuna</w:t>
            </w:r>
          </w:p>
        </w:tc>
        <w:tc>
          <w:tcPr>
            <w:tcW w:w="1984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1.626.830,90</w:t>
            </w:r>
          </w:p>
        </w:tc>
        <w:tc>
          <w:tcPr>
            <w:tcW w:w="1985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1.707.840,68</w:t>
            </w:r>
          </w:p>
        </w:tc>
        <w:tc>
          <w:tcPr>
            <w:tcW w:w="1270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104,98</w:t>
            </w:r>
            <w:r w:rsidR="003D21EF" w:rsidRPr="007C5F78">
              <w:rPr>
                <w:rFonts w:ascii="Times New Roman" w:hAnsi="Times New Roman" w:cs="Times New Roman"/>
              </w:rPr>
              <w:t>%</w:t>
            </w:r>
          </w:p>
        </w:tc>
      </w:tr>
      <w:tr w:rsidR="003D21EF" w:rsidRPr="007C5F78" w:rsidTr="003E1BFD">
        <w:tc>
          <w:tcPr>
            <w:tcW w:w="3823" w:type="dxa"/>
          </w:tcPr>
          <w:p w:rsidR="003D21EF" w:rsidRPr="007C5F78" w:rsidRDefault="003D21EF" w:rsidP="003D21E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Prihodi od imovine</w:t>
            </w:r>
          </w:p>
        </w:tc>
        <w:tc>
          <w:tcPr>
            <w:tcW w:w="1984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985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0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  <w:r w:rsidR="003D21EF" w:rsidRPr="007C5F78">
              <w:rPr>
                <w:rFonts w:ascii="Times New Roman" w:hAnsi="Times New Roman" w:cs="Times New Roman"/>
              </w:rPr>
              <w:t>%</w:t>
            </w:r>
          </w:p>
        </w:tc>
      </w:tr>
      <w:tr w:rsidR="003D21EF" w:rsidRPr="007C5F78" w:rsidTr="003E1BFD">
        <w:tc>
          <w:tcPr>
            <w:tcW w:w="3823" w:type="dxa"/>
          </w:tcPr>
          <w:p w:rsidR="003D21EF" w:rsidRPr="007C5F78" w:rsidRDefault="003D21EF" w:rsidP="003D21E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 xml:space="preserve">Prihodi od upravnih i administrativnih pristojbi, pristojbi po posebnim propisima i naknada </w:t>
            </w:r>
          </w:p>
        </w:tc>
        <w:tc>
          <w:tcPr>
            <w:tcW w:w="1984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8.210,66</w:t>
            </w:r>
          </w:p>
        </w:tc>
        <w:tc>
          <w:tcPr>
            <w:tcW w:w="1985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12.907,81</w:t>
            </w:r>
          </w:p>
        </w:tc>
        <w:tc>
          <w:tcPr>
            <w:tcW w:w="1270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157,21</w:t>
            </w:r>
            <w:r w:rsidR="003D21EF" w:rsidRPr="007C5F78">
              <w:rPr>
                <w:rFonts w:ascii="Times New Roman" w:hAnsi="Times New Roman" w:cs="Times New Roman"/>
              </w:rPr>
              <w:t>%</w:t>
            </w:r>
          </w:p>
        </w:tc>
      </w:tr>
      <w:tr w:rsidR="003D21EF" w:rsidRPr="007C5F78" w:rsidTr="003E1BFD">
        <w:tc>
          <w:tcPr>
            <w:tcW w:w="3823" w:type="dxa"/>
          </w:tcPr>
          <w:p w:rsidR="003D21EF" w:rsidRPr="007C5F78" w:rsidRDefault="003D21EF" w:rsidP="003D21E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Prihodi od prodaje proizvoda i robe te pruženih usluga, prihodi od donacija te povrati po protestiranim jamstvima</w:t>
            </w:r>
          </w:p>
        </w:tc>
        <w:tc>
          <w:tcPr>
            <w:tcW w:w="1984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18.368,36</w:t>
            </w:r>
          </w:p>
        </w:tc>
        <w:tc>
          <w:tcPr>
            <w:tcW w:w="1985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24.588,89</w:t>
            </w:r>
          </w:p>
        </w:tc>
        <w:tc>
          <w:tcPr>
            <w:tcW w:w="1270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133,87</w:t>
            </w:r>
            <w:r w:rsidR="003D21EF" w:rsidRPr="007C5F78">
              <w:rPr>
                <w:rFonts w:ascii="Times New Roman" w:hAnsi="Times New Roman" w:cs="Times New Roman"/>
              </w:rPr>
              <w:t>%</w:t>
            </w:r>
          </w:p>
        </w:tc>
      </w:tr>
      <w:tr w:rsidR="003D21EF" w:rsidRPr="007C5F78" w:rsidTr="003E1BFD">
        <w:tc>
          <w:tcPr>
            <w:tcW w:w="3823" w:type="dxa"/>
          </w:tcPr>
          <w:p w:rsidR="003D21EF" w:rsidRPr="007C5F78" w:rsidRDefault="003D21EF" w:rsidP="003D21E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Prihodi iz nadležnog proračuna i od HZZO-a temeljem ugovornih obveza</w:t>
            </w:r>
          </w:p>
        </w:tc>
        <w:tc>
          <w:tcPr>
            <w:tcW w:w="1984" w:type="dxa"/>
          </w:tcPr>
          <w:p w:rsidR="003D21EF" w:rsidRPr="007C5F78" w:rsidRDefault="003D21EF" w:rsidP="003D21E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264.882,89</w:t>
            </w:r>
          </w:p>
        </w:tc>
        <w:tc>
          <w:tcPr>
            <w:tcW w:w="1985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107.890,63</w:t>
            </w:r>
          </w:p>
        </w:tc>
        <w:tc>
          <w:tcPr>
            <w:tcW w:w="1270" w:type="dxa"/>
          </w:tcPr>
          <w:p w:rsidR="003D21EF" w:rsidRPr="007C5F78" w:rsidRDefault="00E64BF5" w:rsidP="003D21E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40,73</w:t>
            </w:r>
            <w:r w:rsidR="003D21EF" w:rsidRPr="007C5F78">
              <w:rPr>
                <w:rFonts w:ascii="Times New Roman" w:hAnsi="Times New Roman" w:cs="Times New Roman"/>
              </w:rPr>
              <w:t>%</w:t>
            </w:r>
          </w:p>
        </w:tc>
      </w:tr>
      <w:bookmarkEnd w:id="1"/>
      <w:bookmarkEnd w:id="2"/>
    </w:tbl>
    <w:p w:rsidR="00BC7C15" w:rsidRPr="007C5F78" w:rsidRDefault="00BC7C15" w:rsidP="001C55F8">
      <w:pPr>
        <w:rPr>
          <w:rFonts w:ascii="Times New Roman" w:hAnsi="Times New Roman" w:cs="Times New Roman"/>
        </w:rPr>
      </w:pPr>
    </w:p>
    <w:p w:rsidR="00F57969" w:rsidRPr="007C5F78" w:rsidRDefault="00F57969" w:rsidP="00C25A36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U 202</w:t>
      </w:r>
      <w:r w:rsidR="00E64BF5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godini ostvareni prihodi poslovanja odnose se na pomoći od subjekata unutar općeg proračuna u iznosu od 1.</w:t>
      </w:r>
      <w:r w:rsidR="00E64BF5">
        <w:rPr>
          <w:rFonts w:ascii="Times New Roman" w:hAnsi="Times New Roman" w:cs="Times New Roman"/>
        </w:rPr>
        <w:t>707.840,68</w:t>
      </w:r>
      <w:r w:rsidRPr="007C5F78">
        <w:rPr>
          <w:rFonts w:ascii="Times New Roman" w:hAnsi="Times New Roman" w:cs="Times New Roman"/>
        </w:rPr>
        <w:t xml:space="preserve"> eura, što je 9</w:t>
      </w:r>
      <w:r w:rsidR="00E64BF5">
        <w:rPr>
          <w:rFonts w:ascii="Times New Roman" w:hAnsi="Times New Roman" w:cs="Times New Roman"/>
        </w:rPr>
        <w:t>6,61</w:t>
      </w:r>
      <w:r w:rsidRPr="007C5F78">
        <w:rPr>
          <w:rFonts w:ascii="Times New Roman" w:hAnsi="Times New Roman" w:cs="Times New Roman"/>
        </w:rPr>
        <w:t>% planiranih navedenih pomoći, koje se sastoje od:</w:t>
      </w:r>
    </w:p>
    <w:p w:rsidR="00E429BB" w:rsidRDefault="00F57969" w:rsidP="00C25A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29BB">
        <w:rPr>
          <w:rFonts w:ascii="Times New Roman" w:hAnsi="Times New Roman" w:cs="Times New Roman"/>
        </w:rPr>
        <w:t>tekućih pomoći proračunskim korisnicima iz proračuna koji im nije nadležan koje su u 202</w:t>
      </w:r>
      <w:r w:rsidR="00E64BF5" w:rsidRPr="00E429BB">
        <w:rPr>
          <w:rFonts w:ascii="Times New Roman" w:hAnsi="Times New Roman" w:cs="Times New Roman"/>
        </w:rPr>
        <w:t>5</w:t>
      </w:r>
      <w:r w:rsidRPr="00E429BB">
        <w:rPr>
          <w:rFonts w:ascii="Times New Roman" w:hAnsi="Times New Roman" w:cs="Times New Roman"/>
        </w:rPr>
        <w:t xml:space="preserve">. godini ostvarene u iznosu od </w:t>
      </w:r>
      <w:r w:rsidR="00B00022" w:rsidRPr="00E429BB">
        <w:rPr>
          <w:rFonts w:ascii="Times New Roman" w:hAnsi="Times New Roman" w:cs="Times New Roman"/>
        </w:rPr>
        <w:t>1</w:t>
      </w:r>
      <w:r w:rsidR="00453643" w:rsidRPr="00E429BB">
        <w:rPr>
          <w:rFonts w:ascii="Times New Roman" w:hAnsi="Times New Roman" w:cs="Times New Roman"/>
        </w:rPr>
        <w:t>.663.152,03</w:t>
      </w:r>
      <w:r w:rsidRPr="00E429BB">
        <w:rPr>
          <w:rFonts w:ascii="Times New Roman" w:hAnsi="Times New Roman" w:cs="Times New Roman"/>
        </w:rPr>
        <w:t xml:space="preserve"> eur</w:t>
      </w:r>
      <w:r w:rsidR="00453643" w:rsidRPr="00E429BB">
        <w:rPr>
          <w:rFonts w:ascii="Times New Roman" w:hAnsi="Times New Roman" w:cs="Times New Roman"/>
        </w:rPr>
        <w:t xml:space="preserve">a iz državnog proračuna (Ministarstva znanosti, obrazovanja i mladih). </w:t>
      </w:r>
      <w:r w:rsidR="00B00022" w:rsidRPr="00E429BB">
        <w:rPr>
          <w:rFonts w:ascii="Times New Roman" w:hAnsi="Times New Roman" w:cs="Times New Roman"/>
        </w:rPr>
        <w:t xml:space="preserve">1.583.105,16 eura ovih prihoda </w:t>
      </w:r>
      <w:r w:rsidR="00453643" w:rsidRPr="00E429BB">
        <w:rPr>
          <w:rFonts w:ascii="Times New Roman" w:hAnsi="Times New Roman" w:cs="Times New Roman"/>
        </w:rPr>
        <w:t>koji</w:t>
      </w:r>
      <w:r w:rsidR="00B00022" w:rsidRPr="00E429BB">
        <w:rPr>
          <w:rFonts w:ascii="Times New Roman" w:hAnsi="Times New Roman" w:cs="Times New Roman"/>
        </w:rPr>
        <w:t xml:space="preserve"> se </w:t>
      </w:r>
      <w:r w:rsidR="00453643" w:rsidRPr="00E429BB">
        <w:rPr>
          <w:rFonts w:ascii="Times New Roman" w:hAnsi="Times New Roman" w:cs="Times New Roman"/>
        </w:rPr>
        <w:t xml:space="preserve">odnose </w:t>
      </w:r>
      <w:r w:rsidR="00B00022" w:rsidRPr="00E429BB">
        <w:rPr>
          <w:rFonts w:ascii="Times New Roman" w:hAnsi="Times New Roman" w:cs="Times New Roman"/>
        </w:rPr>
        <w:t>na sredstva za plaće</w:t>
      </w:r>
      <w:r w:rsidR="003E6C21" w:rsidRPr="00E429BB">
        <w:rPr>
          <w:rFonts w:ascii="Times New Roman" w:hAnsi="Times New Roman" w:cs="Times New Roman"/>
        </w:rPr>
        <w:t xml:space="preserve"> i materijalna prava</w:t>
      </w:r>
      <w:r w:rsidR="00B00022" w:rsidRPr="00E429BB">
        <w:rPr>
          <w:rFonts w:ascii="Times New Roman" w:hAnsi="Times New Roman" w:cs="Times New Roman"/>
        </w:rPr>
        <w:t xml:space="preserve">, 61.110,84 eura </w:t>
      </w:r>
      <w:r w:rsidR="00453643" w:rsidRPr="00E429BB">
        <w:rPr>
          <w:rFonts w:ascii="Times New Roman" w:hAnsi="Times New Roman" w:cs="Times New Roman"/>
        </w:rPr>
        <w:t xml:space="preserve">prihoda </w:t>
      </w:r>
      <w:r w:rsidR="00B00022" w:rsidRPr="00E429BB">
        <w:rPr>
          <w:rFonts w:ascii="Times New Roman" w:hAnsi="Times New Roman" w:cs="Times New Roman"/>
        </w:rPr>
        <w:t>za prehranu učenika u školskoj kuhinji,</w:t>
      </w:r>
      <w:r w:rsidR="00254AFD" w:rsidRPr="00E429BB">
        <w:rPr>
          <w:rFonts w:ascii="Times New Roman" w:hAnsi="Times New Roman" w:cs="Times New Roman"/>
        </w:rPr>
        <w:t xml:space="preserve"> 13.</w:t>
      </w:r>
      <w:r w:rsidR="000D7F1E" w:rsidRPr="00E429BB">
        <w:rPr>
          <w:rFonts w:ascii="Times New Roman" w:hAnsi="Times New Roman" w:cs="Times New Roman"/>
        </w:rPr>
        <w:t xml:space="preserve">146,18 eura </w:t>
      </w:r>
      <w:r w:rsidR="00453643" w:rsidRPr="00E429BB">
        <w:rPr>
          <w:rFonts w:ascii="Times New Roman" w:hAnsi="Times New Roman" w:cs="Times New Roman"/>
        </w:rPr>
        <w:t>je prihod</w:t>
      </w:r>
      <w:r w:rsidR="000D7F1E" w:rsidRPr="00E429BB">
        <w:rPr>
          <w:rFonts w:ascii="Times New Roman" w:hAnsi="Times New Roman" w:cs="Times New Roman"/>
        </w:rPr>
        <w:t xml:space="preserve"> za nabavu rad</w:t>
      </w:r>
      <w:r w:rsidR="00D006CF" w:rsidRPr="00E429BB">
        <w:rPr>
          <w:rFonts w:ascii="Times New Roman" w:hAnsi="Times New Roman" w:cs="Times New Roman"/>
        </w:rPr>
        <w:t>n</w:t>
      </w:r>
      <w:r w:rsidR="000D7F1E" w:rsidRPr="00E429BB">
        <w:rPr>
          <w:rFonts w:ascii="Times New Roman" w:hAnsi="Times New Roman" w:cs="Times New Roman"/>
        </w:rPr>
        <w:t>ih udžbenika za šk. godinu 2025./2026</w:t>
      </w:r>
      <w:r w:rsidR="00E429BB" w:rsidRPr="00E429BB">
        <w:rPr>
          <w:rFonts w:ascii="Times New Roman" w:hAnsi="Times New Roman" w:cs="Times New Roman"/>
        </w:rPr>
        <w:t xml:space="preserve">, a ostatak prihoda iz državnog proračuna odnosi se na projekte koje provode djelatnici škole, sredstva za higijenske potrepštine za djevojčice koje je uplatilo Ministarstvo rada, mirovinskog sustava, obitelji i socijalne politike. </w:t>
      </w:r>
      <w:r w:rsidR="00B00022" w:rsidRPr="00E429BB">
        <w:rPr>
          <w:rFonts w:ascii="Times New Roman" w:hAnsi="Times New Roman" w:cs="Times New Roman"/>
        </w:rPr>
        <w:t xml:space="preserve">10.767,88 eura iznose </w:t>
      </w:r>
      <w:r w:rsidR="00E429BB">
        <w:rPr>
          <w:rFonts w:ascii="Times New Roman" w:hAnsi="Times New Roman" w:cs="Times New Roman"/>
        </w:rPr>
        <w:t>prihodi</w:t>
      </w:r>
      <w:r w:rsidR="00B00022" w:rsidRPr="00E429BB">
        <w:rPr>
          <w:rFonts w:ascii="Times New Roman" w:hAnsi="Times New Roman" w:cs="Times New Roman"/>
        </w:rPr>
        <w:t xml:space="preserve"> Općine Sveti Petar Orehovec za plaću pomoćnika u nastavi od 4. do 6. mjeseca 2025. godine, za refundaciju</w:t>
      </w:r>
      <w:r w:rsidR="00254AFD" w:rsidRPr="00E429BB">
        <w:rPr>
          <w:rFonts w:ascii="Times New Roman" w:hAnsi="Times New Roman" w:cs="Times New Roman"/>
        </w:rPr>
        <w:t xml:space="preserve"> režijskih</w:t>
      </w:r>
      <w:r w:rsidR="00B00022" w:rsidRPr="00E429BB">
        <w:rPr>
          <w:rFonts w:ascii="Times New Roman" w:hAnsi="Times New Roman" w:cs="Times New Roman"/>
        </w:rPr>
        <w:t xml:space="preserve"> troškova</w:t>
      </w:r>
      <w:r w:rsidR="00D006CF" w:rsidRPr="00E429BB">
        <w:rPr>
          <w:rFonts w:ascii="Times New Roman" w:hAnsi="Times New Roman" w:cs="Times New Roman"/>
        </w:rPr>
        <w:t xml:space="preserve"> sportske dvorane</w:t>
      </w:r>
      <w:r w:rsidR="00254AFD" w:rsidRPr="00E429BB">
        <w:rPr>
          <w:rFonts w:ascii="Times New Roman" w:hAnsi="Times New Roman" w:cs="Times New Roman"/>
        </w:rPr>
        <w:t xml:space="preserve"> i nabavu tepiha </w:t>
      </w:r>
      <w:r w:rsidR="00B00022" w:rsidRPr="00E429BB">
        <w:rPr>
          <w:rFonts w:ascii="Times New Roman" w:hAnsi="Times New Roman" w:cs="Times New Roman"/>
        </w:rPr>
        <w:t xml:space="preserve">za </w:t>
      </w:r>
      <w:r w:rsidR="00254AFD" w:rsidRPr="00E429BB">
        <w:rPr>
          <w:rFonts w:ascii="Times New Roman" w:hAnsi="Times New Roman" w:cs="Times New Roman"/>
        </w:rPr>
        <w:t>sportsku dvoranu, te refundaciju troškova</w:t>
      </w:r>
      <w:r w:rsidR="00D006CF" w:rsidRPr="00E429BB">
        <w:rPr>
          <w:rFonts w:ascii="Times New Roman" w:hAnsi="Times New Roman" w:cs="Times New Roman"/>
        </w:rPr>
        <w:t xml:space="preserve"> Općinskih </w:t>
      </w:r>
      <w:r w:rsidR="00254AFD" w:rsidRPr="00E429BB">
        <w:rPr>
          <w:rFonts w:ascii="Times New Roman" w:hAnsi="Times New Roman" w:cs="Times New Roman"/>
        </w:rPr>
        <w:t xml:space="preserve">natjecanja i </w:t>
      </w:r>
      <w:r w:rsidR="00E429BB" w:rsidRPr="00E429BB">
        <w:rPr>
          <w:rFonts w:ascii="Times New Roman" w:hAnsi="Times New Roman" w:cs="Times New Roman"/>
        </w:rPr>
        <w:t>poklone</w:t>
      </w:r>
      <w:r w:rsidR="00254AFD" w:rsidRPr="00E429BB">
        <w:rPr>
          <w:rFonts w:ascii="Times New Roman" w:hAnsi="Times New Roman" w:cs="Times New Roman"/>
        </w:rPr>
        <w:t xml:space="preserve"> za Svetog Nikolu</w:t>
      </w:r>
      <w:r w:rsidR="00E429BB" w:rsidRPr="00E429BB">
        <w:rPr>
          <w:rFonts w:ascii="Times New Roman" w:hAnsi="Times New Roman" w:cs="Times New Roman"/>
        </w:rPr>
        <w:t xml:space="preserve"> učenicima od 1. do 4. razreda</w:t>
      </w:r>
      <w:r w:rsidR="00254AFD" w:rsidRPr="00E429BB">
        <w:rPr>
          <w:rFonts w:ascii="Times New Roman" w:hAnsi="Times New Roman" w:cs="Times New Roman"/>
        </w:rPr>
        <w:t xml:space="preserve">. </w:t>
      </w:r>
    </w:p>
    <w:p w:rsidR="003C219A" w:rsidRPr="00E429BB" w:rsidRDefault="003C219A" w:rsidP="00C25A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29BB">
        <w:rPr>
          <w:rFonts w:ascii="Times New Roman" w:hAnsi="Times New Roman" w:cs="Times New Roman"/>
        </w:rPr>
        <w:t>kapitalnih pomoći proračunskim korisnicima iz proračuna koji im nije nadležan ostvarenih u 202</w:t>
      </w:r>
      <w:r w:rsidR="000D7F1E" w:rsidRPr="00E429BB">
        <w:rPr>
          <w:rFonts w:ascii="Times New Roman" w:hAnsi="Times New Roman" w:cs="Times New Roman"/>
        </w:rPr>
        <w:t>5</w:t>
      </w:r>
      <w:r w:rsidRPr="00E429BB">
        <w:rPr>
          <w:rFonts w:ascii="Times New Roman" w:hAnsi="Times New Roman" w:cs="Times New Roman"/>
        </w:rPr>
        <w:t xml:space="preserve">. godini u iznosu od </w:t>
      </w:r>
      <w:r w:rsidR="000D7F1E" w:rsidRPr="00E429BB">
        <w:rPr>
          <w:rFonts w:ascii="Times New Roman" w:hAnsi="Times New Roman" w:cs="Times New Roman"/>
        </w:rPr>
        <w:t xml:space="preserve">13.738,20 </w:t>
      </w:r>
      <w:r w:rsidRPr="00E429BB">
        <w:rPr>
          <w:rFonts w:ascii="Times New Roman" w:hAnsi="Times New Roman" w:cs="Times New Roman"/>
        </w:rPr>
        <w:t>eur</w:t>
      </w:r>
      <w:r w:rsidR="000D7F1E" w:rsidRPr="00E429BB">
        <w:rPr>
          <w:rFonts w:ascii="Times New Roman" w:hAnsi="Times New Roman" w:cs="Times New Roman"/>
        </w:rPr>
        <w:t>a</w:t>
      </w:r>
      <w:r w:rsidR="00D006CF" w:rsidRPr="00E429BB">
        <w:rPr>
          <w:rFonts w:ascii="Times New Roman" w:hAnsi="Times New Roman" w:cs="Times New Roman"/>
        </w:rPr>
        <w:t>.</w:t>
      </w:r>
      <w:r w:rsidR="00E429BB">
        <w:rPr>
          <w:rFonts w:ascii="Times New Roman" w:hAnsi="Times New Roman" w:cs="Times New Roman"/>
        </w:rPr>
        <w:t xml:space="preserve"> Prihod Ministarstva znanosti, obrazovanja i mladih z</w:t>
      </w:r>
      <w:r w:rsidRPr="00E429BB">
        <w:rPr>
          <w:rFonts w:ascii="Times New Roman" w:hAnsi="Times New Roman" w:cs="Times New Roman"/>
        </w:rPr>
        <w:t>a nabavu trajnih udžbenika</w:t>
      </w:r>
      <w:r w:rsidR="000D7F1E" w:rsidRPr="00E429BB">
        <w:rPr>
          <w:rFonts w:ascii="Times New Roman" w:hAnsi="Times New Roman" w:cs="Times New Roman"/>
        </w:rPr>
        <w:t xml:space="preserve"> </w:t>
      </w:r>
      <w:r w:rsidR="00E429BB">
        <w:rPr>
          <w:rFonts w:ascii="Times New Roman" w:hAnsi="Times New Roman" w:cs="Times New Roman"/>
        </w:rPr>
        <w:t xml:space="preserve">iznosi </w:t>
      </w:r>
      <w:r w:rsidR="000D7F1E" w:rsidRPr="00E429BB">
        <w:rPr>
          <w:rFonts w:ascii="Times New Roman" w:hAnsi="Times New Roman" w:cs="Times New Roman"/>
        </w:rPr>
        <w:t xml:space="preserve"> 84,17 eura</w:t>
      </w:r>
      <w:r w:rsidR="00E429BB">
        <w:rPr>
          <w:rFonts w:ascii="Times New Roman" w:hAnsi="Times New Roman" w:cs="Times New Roman"/>
        </w:rPr>
        <w:t xml:space="preserve">, a za nabavu </w:t>
      </w:r>
      <w:proofErr w:type="spellStart"/>
      <w:r w:rsidRPr="00E429BB">
        <w:rPr>
          <w:rFonts w:ascii="Times New Roman" w:hAnsi="Times New Roman" w:cs="Times New Roman"/>
        </w:rPr>
        <w:t>lektirnih</w:t>
      </w:r>
      <w:proofErr w:type="spellEnd"/>
      <w:r w:rsidRPr="00E429BB">
        <w:rPr>
          <w:rFonts w:ascii="Times New Roman" w:hAnsi="Times New Roman" w:cs="Times New Roman"/>
        </w:rPr>
        <w:t xml:space="preserve"> naslova za školsku knjižnicu </w:t>
      </w:r>
      <w:r w:rsidR="00E429BB">
        <w:rPr>
          <w:rFonts w:ascii="Times New Roman" w:hAnsi="Times New Roman" w:cs="Times New Roman"/>
        </w:rPr>
        <w:t>prihod i</w:t>
      </w:r>
      <w:r w:rsidR="000D7F1E" w:rsidRPr="00E429BB">
        <w:rPr>
          <w:rFonts w:ascii="Times New Roman" w:hAnsi="Times New Roman" w:cs="Times New Roman"/>
        </w:rPr>
        <w:t>znos</w:t>
      </w:r>
      <w:r w:rsidR="00E429BB">
        <w:rPr>
          <w:rFonts w:ascii="Times New Roman" w:hAnsi="Times New Roman" w:cs="Times New Roman"/>
        </w:rPr>
        <w:t>i</w:t>
      </w:r>
      <w:r w:rsidR="000D7F1E" w:rsidRPr="00E429BB">
        <w:rPr>
          <w:rFonts w:ascii="Times New Roman" w:hAnsi="Times New Roman" w:cs="Times New Roman"/>
        </w:rPr>
        <w:t xml:space="preserve"> 570,00 eura. </w:t>
      </w:r>
      <w:r w:rsidR="00E429BB">
        <w:rPr>
          <w:rFonts w:ascii="Times New Roman" w:hAnsi="Times New Roman" w:cs="Times New Roman"/>
        </w:rPr>
        <w:t xml:space="preserve">Od Općine Sveti Petar Orehovec uplaćena je pomoć u iznosu </w:t>
      </w:r>
      <w:r w:rsidR="000D7F1E" w:rsidRPr="00E429BB">
        <w:rPr>
          <w:rFonts w:ascii="Times New Roman" w:hAnsi="Times New Roman" w:cs="Times New Roman"/>
        </w:rPr>
        <w:t xml:space="preserve">8.481,64 eura </w:t>
      </w:r>
      <w:r w:rsidRPr="00E429BB">
        <w:rPr>
          <w:rFonts w:ascii="Times New Roman" w:hAnsi="Times New Roman" w:cs="Times New Roman"/>
        </w:rPr>
        <w:t xml:space="preserve">za radove na PŠ </w:t>
      </w:r>
      <w:proofErr w:type="spellStart"/>
      <w:r w:rsidRPr="00E429BB">
        <w:rPr>
          <w:rFonts w:ascii="Times New Roman" w:hAnsi="Times New Roman" w:cs="Times New Roman"/>
        </w:rPr>
        <w:t>Miholec</w:t>
      </w:r>
      <w:proofErr w:type="spellEnd"/>
      <w:r w:rsidRPr="00E429BB">
        <w:rPr>
          <w:rFonts w:ascii="Times New Roman" w:hAnsi="Times New Roman" w:cs="Times New Roman"/>
        </w:rPr>
        <w:t xml:space="preserve"> </w:t>
      </w:r>
      <w:r w:rsidR="000D7F1E" w:rsidRPr="00E429BB">
        <w:rPr>
          <w:rFonts w:ascii="Times New Roman" w:hAnsi="Times New Roman" w:cs="Times New Roman"/>
        </w:rPr>
        <w:t>koji su se izvodili u 2024</w:t>
      </w:r>
      <w:r w:rsidR="00CF5093">
        <w:rPr>
          <w:rFonts w:ascii="Times New Roman" w:hAnsi="Times New Roman" w:cs="Times New Roman"/>
        </w:rPr>
        <w:t>.</w:t>
      </w:r>
      <w:r w:rsidR="000D7F1E" w:rsidRPr="00E429BB">
        <w:rPr>
          <w:rFonts w:ascii="Times New Roman" w:hAnsi="Times New Roman" w:cs="Times New Roman"/>
        </w:rPr>
        <w:t xml:space="preserve">, kao i 602,39 eura za opremu nabavljenu 2024. godine. Ostvaren je </w:t>
      </w:r>
      <w:r w:rsidR="00AA1C32">
        <w:rPr>
          <w:rFonts w:ascii="Times New Roman" w:hAnsi="Times New Roman" w:cs="Times New Roman"/>
        </w:rPr>
        <w:t xml:space="preserve">i </w:t>
      </w:r>
      <w:r w:rsidR="000D7F1E" w:rsidRPr="00E429BB">
        <w:rPr>
          <w:rFonts w:ascii="Times New Roman" w:hAnsi="Times New Roman" w:cs="Times New Roman"/>
        </w:rPr>
        <w:t>prihod od 4.000,00 eura za sufinanciranje nabave garderobnih ormarića za učenike MŠ.</w:t>
      </w:r>
    </w:p>
    <w:p w:rsidR="00C25A36" w:rsidRPr="007C5F78" w:rsidRDefault="00C25A36" w:rsidP="00C25A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tekućih pomoći temeljem prijenosa EU sredstava </w:t>
      </w:r>
      <w:r w:rsidR="001C197A">
        <w:rPr>
          <w:rFonts w:ascii="Times New Roman" w:hAnsi="Times New Roman" w:cs="Times New Roman"/>
        </w:rPr>
        <w:t xml:space="preserve">koje su </w:t>
      </w:r>
      <w:r w:rsidRPr="007C5F78">
        <w:rPr>
          <w:rFonts w:ascii="Times New Roman" w:hAnsi="Times New Roman" w:cs="Times New Roman"/>
        </w:rPr>
        <w:t>u 202</w:t>
      </w:r>
      <w:r w:rsidR="001C197A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 xml:space="preserve">. godini ostvarene u iznosu od </w:t>
      </w:r>
      <w:r w:rsidR="003405F5">
        <w:rPr>
          <w:rFonts w:ascii="Times New Roman" w:hAnsi="Times New Roman" w:cs="Times New Roman"/>
        </w:rPr>
        <w:t xml:space="preserve">5.642,20 </w:t>
      </w:r>
      <w:r w:rsidRPr="007C5F78">
        <w:rPr>
          <w:rFonts w:ascii="Times New Roman" w:hAnsi="Times New Roman" w:cs="Times New Roman"/>
        </w:rPr>
        <w:t>eura</w:t>
      </w:r>
      <w:r w:rsidR="003405F5">
        <w:rPr>
          <w:rFonts w:ascii="Times New Roman" w:hAnsi="Times New Roman" w:cs="Times New Roman"/>
        </w:rPr>
        <w:t xml:space="preserve">, a odnose se isplatu preostalih 20% po ocjeni završnog izvješća za </w:t>
      </w:r>
      <w:proofErr w:type="spellStart"/>
      <w:r w:rsidR="003405F5">
        <w:rPr>
          <w:rFonts w:ascii="Times New Roman" w:hAnsi="Times New Roman" w:cs="Times New Roman"/>
        </w:rPr>
        <w:t>Erasmus</w:t>
      </w:r>
      <w:proofErr w:type="spellEnd"/>
      <w:r w:rsidR="003405F5">
        <w:rPr>
          <w:rFonts w:ascii="Times New Roman" w:hAnsi="Times New Roman" w:cs="Times New Roman"/>
        </w:rPr>
        <w:t>+ projekt Brza moda koji je završen 2025. godine</w:t>
      </w:r>
      <w:r w:rsidR="00575884" w:rsidRPr="007C5F78">
        <w:rPr>
          <w:rFonts w:ascii="Times New Roman" w:hAnsi="Times New Roman" w:cs="Times New Roman"/>
        </w:rPr>
        <w:t>.</w:t>
      </w:r>
    </w:p>
    <w:p w:rsidR="000C4A5E" w:rsidRDefault="00575884" w:rsidP="00906A0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4A5E">
        <w:rPr>
          <w:rFonts w:ascii="Times New Roman" w:hAnsi="Times New Roman" w:cs="Times New Roman"/>
        </w:rPr>
        <w:t>tekući prijenosi između proračunskih korisnika istog proračuna temeljem prijenosa EU sredstava ostvaren</w:t>
      </w:r>
      <w:r w:rsidR="000C4A5E">
        <w:rPr>
          <w:rFonts w:ascii="Times New Roman" w:hAnsi="Times New Roman" w:cs="Times New Roman"/>
        </w:rPr>
        <w:t>i</w:t>
      </w:r>
      <w:r w:rsidRPr="000C4A5E">
        <w:rPr>
          <w:rFonts w:ascii="Times New Roman" w:hAnsi="Times New Roman" w:cs="Times New Roman"/>
        </w:rPr>
        <w:t xml:space="preserve"> su u iznosu od </w:t>
      </w:r>
      <w:r w:rsidR="003405F5" w:rsidRPr="000C4A5E">
        <w:rPr>
          <w:rFonts w:ascii="Times New Roman" w:hAnsi="Times New Roman" w:cs="Times New Roman"/>
        </w:rPr>
        <w:t>14.540,37</w:t>
      </w:r>
      <w:r w:rsidRPr="000C4A5E">
        <w:rPr>
          <w:rFonts w:ascii="Times New Roman" w:hAnsi="Times New Roman" w:cs="Times New Roman"/>
        </w:rPr>
        <w:t xml:space="preserve"> eura, a odnose se na projekt Školska shema (raspodjela svježeg voća, mlijeka i jogurta</w:t>
      </w:r>
      <w:r w:rsidR="00126B31" w:rsidRPr="000C4A5E">
        <w:rPr>
          <w:rFonts w:ascii="Times New Roman" w:hAnsi="Times New Roman" w:cs="Times New Roman"/>
        </w:rPr>
        <w:t xml:space="preserve"> svim učenicima</w:t>
      </w:r>
      <w:r w:rsidR="003405F5" w:rsidRPr="000C4A5E">
        <w:rPr>
          <w:rFonts w:ascii="Times New Roman" w:hAnsi="Times New Roman" w:cs="Times New Roman"/>
        </w:rPr>
        <w:t xml:space="preserve"> matične škole i područnih škola</w:t>
      </w:r>
      <w:r w:rsidRPr="000C4A5E">
        <w:rPr>
          <w:rFonts w:ascii="Times New Roman" w:hAnsi="Times New Roman" w:cs="Times New Roman"/>
        </w:rPr>
        <w:t xml:space="preserve">) u iznosu od </w:t>
      </w:r>
      <w:r w:rsidR="003405F5" w:rsidRPr="000C4A5E">
        <w:rPr>
          <w:rFonts w:ascii="Times New Roman" w:hAnsi="Times New Roman" w:cs="Times New Roman"/>
        </w:rPr>
        <w:t>3.078,04</w:t>
      </w:r>
      <w:r w:rsidR="00126B31" w:rsidRPr="000C4A5E">
        <w:rPr>
          <w:rFonts w:ascii="Times New Roman" w:hAnsi="Times New Roman" w:cs="Times New Roman"/>
        </w:rPr>
        <w:t xml:space="preserve"> eura i na projekt Prilika za sve 7  u iznosu </w:t>
      </w:r>
      <w:r w:rsidR="003E6C21">
        <w:rPr>
          <w:rFonts w:ascii="Times New Roman" w:hAnsi="Times New Roman" w:cs="Times New Roman"/>
        </w:rPr>
        <w:t>11.462,33</w:t>
      </w:r>
      <w:r w:rsidR="000C4A5E" w:rsidRPr="000C4A5E">
        <w:rPr>
          <w:rFonts w:ascii="Times New Roman" w:hAnsi="Times New Roman" w:cs="Times New Roman"/>
        </w:rPr>
        <w:t xml:space="preserve"> </w:t>
      </w:r>
      <w:r w:rsidR="00126B31" w:rsidRPr="000C4A5E">
        <w:rPr>
          <w:rFonts w:ascii="Times New Roman" w:hAnsi="Times New Roman" w:cs="Times New Roman"/>
        </w:rPr>
        <w:t>eura</w:t>
      </w:r>
      <w:r w:rsidR="000C4A5E">
        <w:rPr>
          <w:rFonts w:ascii="Times New Roman" w:hAnsi="Times New Roman" w:cs="Times New Roman"/>
        </w:rPr>
        <w:t>. O</w:t>
      </w:r>
      <w:r w:rsidR="000C4A5E" w:rsidRPr="000C4A5E">
        <w:rPr>
          <w:rFonts w:ascii="Times New Roman" w:hAnsi="Times New Roman" w:cs="Times New Roman"/>
        </w:rPr>
        <w:t xml:space="preserve">d rujna 2025. </w:t>
      </w:r>
      <w:r w:rsidR="000C4A5E" w:rsidRPr="000C4A5E">
        <w:rPr>
          <w:rFonts w:ascii="Times New Roman" w:hAnsi="Times New Roman" w:cs="Times New Roman"/>
        </w:rPr>
        <w:lastRenderedPageBreak/>
        <w:t xml:space="preserve">godine zaposlena je još jedna pomoćnica u nastavi u PŠ </w:t>
      </w:r>
      <w:proofErr w:type="spellStart"/>
      <w:r w:rsidR="000C4A5E" w:rsidRPr="000C4A5E">
        <w:rPr>
          <w:rFonts w:ascii="Times New Roman" w:hAnsi="Times New Roman" w:cs="Times New Roman"/>
        </w:rPr>
        <w:t>Fodrovec</w:t>
      </w:r>
      <w:proofErr w:type="spellEnd"/>
      <w:r w:rsidR="000C4A5E">
        <w:rPr>
          <w:rFonts w:ascii="Times New Roman" w:hAnsi="Times New Roman" w:cs="Times New Roman"/>
        </w:rPr>
        <w:t xml:space="preserve">, te su iz toga razloga povećani prohodi u odnosu na 2024. godinu. </w:t>
      </w:r>
    </w:p>
    <w:p w:rsidR="00906A02" w:rsidRPr="000C4A5E" w:rsidRDefault="00906A02" w:rsidP="000C4A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4A5E">
        <w:rPr>
          <w:rFonts w:ascii="Times New Roman" w:hAnsi="Times New Roman" w:cs="Times New Roman"/>
        </w:rPr>
        <w:t xml:space="preserve">Prihodi od imovine su prihodi Podravske banke za kamatu za sredstva na </w:t>
      </w:r>
      <w:proofErr w:type="spellStart"/>
      <w:r w:rsidRPr="000C4A5E">
        <w:rPr>
          <w:rFonts w:ascii="Times New Roman" w:hAnsi="Times New Roman" w:cs="Times New Roman"/>
        </w:rPr>
        <w:t>podračunu</w:t>
      </w:r>
      <w:proofErr w:type="spellEnd"/>
      <w:r w:rsidRPr="000C4A5E">
        <w:rPr>
          <w:rFonts w:ascii="Times New Roman" w:hAnsi="Times New Roman" w:cs="Times New Roman"/>
        </w:rPr>
        <w:t>.</w:t>
      </w:r>
    </w:p>
    <w:p w:rsidR="00CA3496" w:rsidRDefault="00906A02" w:rsidP="00A11DA9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Prihodi od upravnih i administrativnih pristojbi, pristojbi po posebnim propisima i naknada u iznosu od </w:t>
      </w:r>
      <w:r w:rsidR="000C4A5E">
        <w:rPr>
          <w:rFonts w:ascii="Times New Roman" w:hAnsi="Times New Roman" w:cs="Times New Roman"/>
        </w:rPr>
        <w:t xml:space="preserve">12.907,81 </w:t>
      </w:r>
      <w:r w:rsidRPr="007C5F78">
        <w:rPr>
          <w:rFonts w:ascii="Times New Roman" w:hAnsi="Times New Roman" w:cs="Times New Roman"/>
        </w:rPr>
        <w:t>eura odnose se na ostale nespomenute prihode koje čine uplate roditelja za osiguranje učenika, sufinanciranje terenske nastave</w:t>
      </w:r>
      <w:r w:rsidR="00CA3496">
        <w:rPr>
          <w:rFonts w:ascii="Times New Roman" w:hAnsi="Times New Roman" w:cs="Times New Roman"/>
        </w:rPr>
        <w:t xml:space="preserve">, </w:t>
      </w:r>
      <w:r w:rsidRPr="007C5F78">
        <w:rPr>
          <w:rFonts w:ascii="Times New Roman" w:hAnsi="Times New Roman" w:cs="Times New Roman"/>
        </w:rPr>
        <w:t>uplate djelatnika za prehranu u školskoj kuhinji</w:t>
      </w:r>
      <w:r w:rsidR="00CA3496">
        <w:rPr>
          <w:rFonts w:ascii="Times New Roman" w:hAnsi="Times New Roman" w:cs="Times New Roman"/>
        </w:rPr>
        <w:t xml:space="preserve">, uplate Školskog športskog saveza Koprivničko-križevačke županije za međuopćinska natjecanja 2025. godine, te uplate škola iz inozemstva za sufinanciranje troškova učenika i učitelja koji su bili na </w:t>
      </w:r>
      <w:proofErr w:type="spellStart"/>
      <w:r w:rsidR="00CA3496">
        <w:rPr>
          <w:rFonts w:ascii="Times New Roman" w:hAnsi="Times New Roman" w:cs="Times New Roman"/>
        </w:rPr>
        <w:t>Erasmus</w:t>
      </w:r>
      <w:proofErr w:type="spellEnd"/>
      <w:r w:rsidR="00CA3496">
        <w:rPr>
          <w:rFonts w:ascii="Times New Roman" w:hAnsi="Times New Roman" w:cs="Times New Roman"/>
        </w:rPr>
        <w:t>+ mobilnosti u Zagrebu gdje je naša škola bila domaćin i najveći su razlog povećanja navedenih prihoda u odnosu na 2024. godinu.</w:t>
      </w:r>
    </w:p>
    <w:p w:rsidR="001873FF" w:rsidRPr="007C5F78" w:rsidRDefault="00CA3496" w:rsidP="00A11D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</w:t>
      </w:r>
      <w:r w:rsidR="00A11DA9" w:rsidRPr="007C5F78">
        <w:rPr>
          <w:rFonts w:ascii="Times New Roman" w:hAnsi="Times New Roman" w:cs="Times New Roman"/>
        </w:rPr>
        <w:t>hodi od prodaje proizvoda i robe te pruženih usluga, prihodi od donacija te povrati po protestiranim jamstvima u 202</w:t>
      </w:r>
      <w:r>
        <w:rPr>
          <w:rFonts w:ascii="Times New Roman" w:hAnsi="Times New Roman" w:cs="Times New Roman"/>
        </w:rPr>
        <w:t>5</w:t>
      </w:r>
      <w:r w:rsidR="00A11DA9" w:rsidRPr="007C5F78">
        <w:rPr>
          <w:rFonts w:ascii="Times New Roman" w:hAnsi="Times New Roman" w:cs="Times New Roman"/>
        </w:rPr>
        <w:t xml:space="preserve">. godini iznose </w:t>
      </w:r>
      <w:r>
        <w:rPr>
          <w:rFonts w:ascii="Times New Roman" w:hAnsi="Times New Roman" w:cs="Times New Roman"/>
        </w:rPr>
        <w:t>24.588,89</w:t>
      </w:r>
      <w:r w:rsidR="00A11DA9" w:rsidRPr="007C5F78">
        <w:rPr>
          <w:rFonts w:ascii="Times New Roman" w:hAnsi="Times New Roman" w:cs="Times New Roman"/>
        </w:rPr>
        <w:t xml:space="preserve"> eura</w:t>
      </w:r>
      <w:r w:rsidR="007A07A8">
        <w:rPr>
          <w:rFonts w:ascii="Times New Roman" w:hAnsi="Times New Roman" w:cs="Times New Roman"/>
        </w:rPr>
        <w:t xml:space="preserve"> te su za 33,87% veći u odnosu na 2024. godinu</w:t>
      </w:r>
      <w:r w:rsidR="00A11DA9" w:rsidRPr="007C5F78">
        <w:rPr>
          <w:rFonts w:ascii="Times New Roman" w:hAnsi="Times New Roman" w:cs="Times New Roman"/>
        </w:rPr>
        <w:t xml:space="preserve">, </w:t>
      </w:r>
      <w:r w:rsidR="00B56AE8" w:rsidRPr="007C5F78">
        <w:rPr>
          <w:rFonts w:ascii="Times New Roman" w:hAnsi="Times New Roman" w:cs="Times New Roman"/>
        </w:rPr>
        <w:t xml:space="preserve">a ostvareni su </w:t>
      </w:r>
      <w:r w:rsidR="00A11DA9" w:rsidRPr="007C5F78">
        <w:rPr>
          <w:rFonts w:ascii="Times New Roman" w:hAnsi="Times New Roman" w:cs="Times New Roman"/>
        </w:rPr>
        <w:t>prodajom starog papira</w:t>
      </w:r>
      <w:r w:rsidR="00B56AE8" w:rsidRPr="007C5F78">
        <w:rPr>
          <w:rFonts w:ascii="Times New Roman" w:hAnsi="Times New Roman" w:cs="Times New Roman"/>
        </w:rPr>
        <w:t xml:space="preserve"> u iznosu od </w:t>
      </w:r>
      <w:r>
        <w:rPr>
          <w:rFonts w:ascii="Times New Roman" w:hAnsi="Times New Roman" w:cs="Times New Roman"/>
        </w:rPr>
        <w:t>297</w:t>
      </w:r>
      <w:r w:rsidR="00B56AE8" w:rsidRPr="007C5F78">
        <w:rPr>
          <w:rFonts w:ascii="Times New Roman" w:hAnsi="Times New Roman" w:cs="Times New Roman"/>
        </w:rPr>
        <w:t>,00 eura</w:t>
      </w:r>
      <w:r>
        <w:rPr>
          <w:rFonts w:ascii="Times New Roman" w:hAnsi="Times New Roman" w:cs="Times New Roman"/>
        </w:rPr>
        <w:t>,</w:t>
      </w:r>
      <w:r w:rsidR="00B56AE8" w:rsidRPr="007C5F78">
        <w:rPr>
          <w:rFonts w:ascii="Times New Roman" w:hAnsi="Times New Roman" w:cs="Times New Roman"/>
        </w:rPr>
        <w:t xml:space="preserve"> iznajmljivanjem sportske dvorane</w:t>
      </w:r>
      <w:r w:rsidR="003E6C21">
        <w:rPr>
          <w:rFonts w:ascii="Times New Roman" w:hAnsi="Times New Roman" w:cs="Times New Roman"/>
        </w:rPr>
        <w:t xml:space="preserve"> i</w:t>
      </w:r>
      <w:r w:rsidR="00B56AE8" w:rsidRPr="007C5F78">
        <w:rPr>
          <w:rFonts w:ascii="Times New Roman" w:hAnsi="Times New Roman" w:cs="Times New Roman"/>
        </w:rPr>
        <w:t xml:space="preserve"> stana u PŠ </w:t>
      </w:r>
      <w:proofErr w:type="spellStart"/>
      <w:r w:rsidR="00B56AE8" w:rsidRPr="007C5F78">
        <w:rPr>
          <w:rFonts w:ascii="Times New Roman" w:hAnsi="Times New Roman" w:cs="Times New Roman"/>
        </w:rPr>
        <w:t>Fodrovec</w:t>
      </w:r>
      <w:proofErr w:type="spellEnd"/>
      <w:r w:rsidR="00B56AE8" w:rsidRPr="007C5F78">
        <w:rPr>
          <w:rFonts w:ascii="Times New Roman" w:hAnsi="Times New Roman" w:cs="Times New Roman"/>
        </w:rPr>
        <w:t xml:space="preserve"> u iznosu od </w:t>
      </w:r>
      <w:r>
        <w:rPr>
          <w:rFonts w:ascii="Times New Roman" w:hAnsi="Times New Roman" w:cs="Times New Roman"/>
        </w:rPr>
        <w:t>13.183,08</w:t>
      </w:r>
      <w:r w:rsidR="00B56AE8" w:rsidRPr="007C5F78">
        <w:rPr>
          <w:rFonts w:ascii="Times New Roman" w:hAnsi="Times New Roman" w:cs="Times New Roman"/>
        </w:rPr>
        <w:t xml:space="preserve"> eura,</w:t>
      </w:r>
      <w:r w:rsidR="00A11DA9" w:rsidRPr="007C5F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 „prodajom“ viška električne energije </w:t>
      </w:r>
      <w:r w:rsidR="007A07A8">
        <w:rPr>
          <w:rFonts w:ascii="Times New Roman" w:hAnsi="Times New Roman" w:cs="Times New Roman"/>
        </w:rPr>
        <w:t xml:space="preserve">za 2024. godinu </w:t>
      </w:r>
      <w:r>
        <w:rPr>
          <w:rFonts w:ascii="Times New Roman" w:hAnsi="Times New Roman" w:cs="Times New Roman"/>
        </w:rPr>
        <w:t>HEP opskrbi koju su proizvele</w:t>
      </w:r>
      <w:r w:rsidR="007A07A8">
        <w:rPr>
          <w:rFonts w:ascii="Times New Roman" w:hAnsi="Times New Roman" w:cs="Times New Roman"/>
        </w:rPr>
        <w:t xml:space="preserve"> solarne </w:t>
      </w:r>
      <w:proofErr w:type="spellStart"/>
      <w:r w:rsidR="007A07A8">
        <w:rPr>
          <w:rFonts w:ascii="Times New Roman" w:hAnsi="Times New Roman" w:cs="Times New Roman"/>
        </w:rPr>
        <w:t>čelije</w:t>
      </w:r>
      <w:proofErr w:type="spellEnd"/>
      <w:r w:rsidR="007A07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B2D01">
        <w:rPr>
          <w:rFonts w:ascii="Times New Roman" w:hAnsi="Times New Roman" w:cs="Times New Roman"/>
        </w:rPr>
        <w:t>U odnosu na 2024. godinu najveće povećanje zabilježeno je na tekućim donacijama</w:t>
      </w:r>
      <w:r w:rsidR="00081640">
        <w:rPr>
          <w:rFonts w:ascii="Times New Roman" w:hAnsi="Times New Roman" w:cs="Times New Roman"/>
        </w:rPr>
        <w:t xml:space="preserve"> uplatom donacije Adriatic osiguranja i p</w:t>
      </w:r>
      <w:r w:rsidR="00EB2D01">
        <w:rPr>
          <w:rFonts w:ascii="Times New Roman" w:hAnsi="Times New Roman" w:cs="Times New Roman"/>
        </w:rPr>
        <w:t>od</w:t>
      </w:r>
      <w:r w:rsidR="00081640">
        <w:rPr>
          <w:rFonts w:ascii="Times New Roman" w:hAnsi="Times New Roman" w:cs="Times New Roman"/>
        </w:rPr>
        <w:t xml:space="preserve">uzeća </w:t>
      </w:r>
      <w:proofErr w:type="spellStart"/>
      <w:r w:rsidR="00081640">
        <w:rPr>
          <w:rFonts w:ascii="Times New Roman" w:hAnsi="Times New Roman" w:cs="Times New Roman"/>
        </w:rPr>
        <w:t>Friš</w:t>
      </w:r>
      <w:proofErr w:type="spellEnd"/>
      <w:r w:rsidR="00081640">
        <w:rPr>
          <w:rFonts w:ascii="Times New Roman" w:hAnsi="Times New Roman" w:cs="Times New Roman"/>
        </w:rPr>
        <w:t xml:space="preserve"> d.o.o. u iznosu od </w:t>
      </w:r>
      <w:r w:rsidR="00996AB9">
        <w:rPr>
          <w:rFonts w:ascii="Times New Roman" w:hAnsi="Times New Roman" w:cs="Times New Roman"/>
        </w:rPr>
        <w:t>225,76 eura</w:t>
      </w:r>
      <w:r w:rsidR="000743CD">
        <w:rPr>
          <w:rFonts w:ascii="Times New Roman" w:hAnsi="Times New Roman" w:cs="Times New Roman"/>
        </w:rPr>
        <w:t>,</w:t>
      </w:r>
      <w:r w:rsidR="00EB2D01">
        <w:rPr>
          <w:rFonts w:ascii="Times New Roman" w:hAnsi="Times New Roman" w:cs="Times New Roman"/>
        </w:rPr>
        <w:t xml:space="preserve"> turističkih agencija za dnevnice učitelja na terenskim nastavama</w:t>
      </w:r>
      <w:r w:rsidR="00081640">
        <w:rPr>
          <w:rFonts w:ascii="Times New Roman" w:hAnsi="Times New Roman" w:cs="Times New Roman"/>
        </w:rPr>
        <w:t xml:space="preserve"> u iznosu od 1.650,00 eura,</w:t>
      </w:r>
      <w:r w:rsidR="00EB2D01">
        <w:rPr>
          <w:rFonts w:ascii="Times New Roman" w:hAnsi="Times New Roman" w:cs="Times New Roman"/>
        </w:rPr>
        <w:t xml:space="preserve"> </w:t>
      </w:r>
      <w:r w:rsidR="004E1510">
        <w:rPr>
          <w:rFonts w:ascii="Times New Roman" w:hAnsi="Times New Roman" w:cs="Times New Roman"/>
        </w:rPr>
        <w:t xml:space="preserve">te </w:t>
      </w:r>
      <w:r w:rsidR="00081640">
        <w:rPr>
          <w:rFonts w:ascii="Times New Roman" w:hAnsi="Times New Roman" w:cs="Times New Roman"/>
        </w:rPr>
        <w:t xml:space="preserve">uplatom tvrtke LM komunikacije d.o.o. u iznosu od 2.000,00 eura </w:t>
      </w:r>
      <w:r w:rsidR="00081640" w:rsidRPr="00081640">
        <w:rPr>
          <w:rFonts w:ascii="Times New Roman" w:hAnsi="Times New Roman" w:cs="Times New Roman"/>
        </w:rPr>
        <w:t>za osvojeno 1.mjesto u sklopu natjecanja OŠ na temu "Gospodarenja o</w:t>
      </w:r>
      <w:r w:rsidR="00081640">
        <w:rPr>
          <w:rFonts w:ascii="Times New Roman" w:hAnsi="Times New Roman" w:cs="Times New Roman"/>
        </w:rPr>
        <w:t>t</w:t>
      </w:r>
      <w:r w:rsidR="00081640" w:rsidRPr="00081640">
        <w:rPr>
          <w:rFonts w:ascii="Times New Roman" w:hAnsi="Times New Roman" w:cs="Times New Roman"/>
        </w:rPr>
        <w:t>padom</w:t>
      </w:r>
      <w:r w:rsidR="00081640">
        <w:rPr>
          <w:rFonts w:ascii="Times New Roman" w:hAnsi="Times New Roman" w:cs="Times New Roman"/>
        </w:rPr>
        <w:t>.</w:t>
      </w:r>
      <w:r w:rsidR="000743CD">
        <w:rPr>
          <w:rFonts w:ascii="Times New Roman" w:hAnsi="Times New Roman" w:cs="Times New Roman"/>
        </w:rPr>
        <w:t xml:space="preserve"> Od neprofitnih organizacija primljena je donacija Školskog športskog saveza Koprivničko-križevačke županije u iznosu od 200,00 eura za nabavu sportske opreme, donacija </w:t>
      </w:r>
      <w:r w:rsidR="000743CD" w:rsidRPr="000743CD">
        <w:rPr>
          <w:rFonts w:ascii="Times New Roman" w:hAnsi="Times New Roman" w:cs="Times New Roman"/>
        </w:rPr>
        <w:t>mikrofona, filtera za mikrofon i slušalica</w:t>
      </w:r>
      <w:r w:rsidR="000743CD">
        <w:rPr>
          <w:rFonts w:ascii="Times New Roman" w:hAnsi="Times New Roman" w:cs="Times New Roman"/>
        </w:rPr>
        <w:t xml:space="preserve"> </w:t>
      </w:r>
      <w:r w:rsidR="000743CD" w:rsidRPr="000743CD">
        <w:rPr>
          <w:rFonts w:ascii="Times New Roman" w:hAnsi="Times New Roman" w:cs="Times New Roman"/>
        </w:rPr>
        <w:t>udruge</w:t>
      </w:r>
      <w:r w:rsidR="000743CD">
        <w:rPr>
          <w:rFonts w:ascii="Times New Roman" w:hAnsi="Times New Roman" w:cs="Times New Roman"/>
        </w:rPr>
        <w:t xml:space="preserve"> Alternator u vrijednosti 110,40 eura</w:t>
      </w:r>
      <w:r w:rsidR="00A018ED">
        <w:rPr>
          <w:rFonts w:ascii="Times New Roman" w:hAnsi="Times New Roman" w:cs="Times New Roman"/>
        </w:rPr>
        <w:t xml:space="preserve"> te </w:t>
      </w:r>
      <w:r w:rsidR="00081640">
        <w:rPr>
          <w:rFonts w:ascii="Times New Roman" w:hAnsi="Times New Roman" w:cs="Times New Roman"/>
        </w:rPr>
        <w:t xml:space="preserve"> </w:t>
      </w:r>
      <w:r w:rsidR="00A018ED">
        <w:rPr>
          <w:rFonts w:ascii="Times New Roman" w:hAnsi="Times New Roman" w:cs="Times New Roman"/>
        </w:rPr>
        <w:t>donacija Hrabrog telefona u iznosu 805</w:t>
      </w:r>
      <w:r w:rsidR="003E6C21">
        <w:rPr>
          <w:rFonts w:ascii="Times New Roman" w:hAnsi="Times New Roman" w:cs="Times New Roman"/>
        </w:rPr>
        <w:t>,00</w:t>
      </w:r>
      <w:r w:rsidR="00A018ED">
        <w:rPr>
          <w:rFonts w:ascii="Times New Roman" w:hAnsi="Times New Roman" w:cs="Times New Roman"/>
        </w:rPr>
        <w:t xml:space="preserve"> eura za provođenje projekta Škole hrabrosti za koji je ostvarena i kapitalna donacija 800,00 eura za nabavu informatičke opreme. Ostale kapitalne donacije ostvarene su od trgovačkih društava </w:t>
      </w:r>
      <w:proofErr w:type="spellStart"/>
      <w:r w:rsidR="00A018ED">
        <w:rPr>
          <w:rFonts w:ascii="Times New Roman" w:hAnsi="Times New Roman" w:cs="Times New Roman"/>
        </w:rPr>
        <w:t>Pameks</w:t>
      </w:r>
      <w:proofErr w:type="spellEnd"/>
      <w:r w:rsidR="00A018ED">
        <w:rPr>
          <w:rFonts w:ascii="Times New Roman" w:hAnsi="Times New Roman" w:cs="Times New Roman"/>
        </w:rPr>
        <w:t xml:space="preserve"> d.o.o., Radnik d.d. i </w:t>
      </w:r>
      <w:proofErr w:type="spellStart"/>
      <w:r w:rsidR="00A018ED">
        <w:rPr>
          <w:rFonts w:ascii="Times New Roman" w:hAnsi="Times New Roman" w:cs="Times New Roman"/>
        </w:rPr>
        <w:t>Širjan</w:t>
      </w:r>
      <w:proofErr w:type="spellEnd"/>
      <w:r w:rsidR="00A018ED">
        <w:rPr>
          <w:rFonts w:ascii="Times New Roman" w:hAnsi="Times New Roman" w:cs="Times New Roman"/>
        </w:rPr>
        <w:t xml:space="preserve"> d.o.o. donacijom klima uređaja za PŠ </w:t>
      </w:r>
      <w:proofErr w:type="spellStart"/>
      <w:r w:rsidR="00A018ED">
        <w:rPr>
          <w:rFonts w:ascii="Times New Roman" w:hAnsi="Times New Roman" w:cs="Times New Roman"/>
        </w:rPr>
        <w:t>Fodrovec</w:t>
      </w:r>
      <w:proofErr w:type="spellEnd"/>
      <w:r w:rsidR="00A018ED">
        <w:rPr>
          <w:rFonts w:ascii="Times New Roman" w:hAnsi="Times New Roman" w:cs="Times New Roman"/>
        </w:rPr>
        <w:t xml:space="preserve"> (2 kom) i matičnu školu u</w:t>
      </w:r>
      <w:r w:rsidR="00E345F8">
        <w:rPr>
          <w:rFonts w:ascii="Times New Roman" w:hAnsi="Times New Roman" w:cs="Times New Roman"/>
        </w:rPr>
        <w:t>kupne</w:t>
      </w:r>
      <w:r w:rsidR="00A018ED">
        <w:rPr>
          <w:rFonts w:ascii="Times New Roman" w:hAnsi="Times New Roman" w:cs="Times New Roman"/>
        </w:rPr>
        <w:t xml:space="preserve"> vrijednosti 4.349,17 eura.</w:t>
      </w:r>
      <w:r w:rsidR="001873FF" w:rsidRPr="007C5F78">
        <w:rPr>
          <w:rFonts w:ascii="Times New Roman" w:hAnsi="Times New Roman" w:cs="Times New Roman"/>
        </w:rPr>
        <w:t xml:space="preserve"> </w:t>
      </w:r>
    </w:p>
    <w:p w:rsidR="00A11DA9" w:rsidRPr="007C5F78" w:rsidRDefault="001873FF" w:rsidP="00A11DA9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Prihodi iz nadležnog proračuna za financiranje redovne djelatnosti proračunskih korisnika odnose se na prihode osnivača, Koprivničko-križevačke županije za financiranje rashoda poslovanja i financiranje rashoda za nabavu nefinancijske imovine. U 202</w:t>
      </w:r>
      <w:r w:rsidR="002C0B69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 xml:space="preserve">. godini ostvareni su u iznosu od </w:t>
      </w:r>
      <w:r w:rsidR="002C0B69">
        <w:rPr>
          <w:rFonts w:ascii="Times New Roman" w:hAnsi="Times New Roman" w:cs="Times New Roman"/>
        </w:rPr>
        <w:t>107.890,63</w:t>
      </w:r>
      <w:r w:rsidRPr="007C5F78">
        <w:rPr>
          <w:rFonts w:ascii="Times New Roman" w:hAnsi="Times New Roman" w:cs="Times New Roman"/>
        </w:rPr>
        <w:t xml:space="preserve"> eur</w:t>
      </w:r>
      <w:r w:rsidR="00CA51AD">
        <w:rPr>
          <w:rFonts w:ascii="Times New Roman" w:hAnsi="Times New Roman" w:cs="Times New Roman"/>
        </w:rPr>
        <w:t xml:space="preserve">a. </w:t>
      </w:r>
      <w:r w:rsidRPr="007C5F78">
        <w:rPr>
          <w:rFonts w:ascii="Times New Roman" w:hAnsi="Times New Roman" w:cs="Times New Roman"/>
        </w:rPr>
        <w:t xml:space="preserve">Prihodi za financiranje rashoda poslovanja su za </w:t>
      </w:r>
      <w:r w:rsidR="00F14587">
        <w:rPr>
          <w:rFonts w:ascii="Times New Roman" w:hAnsi="Times New Roman" w:cs="Times New Roman"/>
        </w:rPr>
        <w:t>13,71</w:t>
      </w:r>
      <w:r w:rsidRPr="007C5F78">
        <w:rPr>
          <w:rFonts w:ascii="Times New Roman" w:hAnsi="Times New Roman" w:cs="Times New Roman"/>
        </w:rPr>
        <w:t>% veći u odnosu na 202</w:t>
      </w:r>
      <w:r w:rsidR="00F14587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godinu, dok je veća razlika kod prihoda za financiranje rashoda za nabavu nefinancijske imovine koji su u 202</w:t>
      </w:r>
      <w:r w:rsidR="00F14587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godini iznosili</w:t>
      </w:r>
      <w:r w:rsidR="00F14587">
        <w:rPr>
          <w:rFonts w:ascii="Times New Roman" w:hAnsi="Times New Roman" w:cs="Times New Roman"/>
        </w:rPr>
        <w:t xml:space="preserve"> 17.045,69</w:t>
      </w:r>
      <w:r w:rsidRPr="007C5F78">
        <w:rPr>
          <w:rFonts w:ascii="Times New Roman" w:hAnsi="Times New Roman" w:cs="Times New Roman"/>
        </w:rPr>
        <w:t>, a odnose se na</w:t>
      </w:r>
      <w:r w:rsidR="00F14587">
        <w:rPr>
          <w:rFonts w:ascii="Times New Roman" w:hAnsi="Times New Roman" w:cs="Times New Roman"/>
        </w:rPr>
        <w:t xml:space="preserve"> sufinanciranje</w:t>
      </w:r>
      <w:r w:rsidRPr="007C5F78">
        <w:rPr>
          <w:rFonts w:ascii="Times New Roman" w:hAnsi="Times New Roman" w:cs="Times New Roman"/>
        </w:rPr>
        <w:t xml:space="preserve"> nabav</w:t>
      </w:r>
      <w:r w:rsidR="00F14587">
        <w:rPr>
          <w:rFonts w:ascii="Times New Roman" w:hAnsi="Times New Roman" w:cs="Times New Roman"/>
        </w:rPr>
        <w:t>e garderobnih ormarića za matičnu školu, nabavu vatrogasnih aparata i uređaja za čišćenje i pranje poda, te</w:t>
      </w:r>
      <w:r w:rsidRPr="007C5F78">
        <w:rPr>
          <w:rFonts w:ascii="Times New Roman" w:hAnsi="Times New Roman" w:cs="Times New Roman"/>
        </w:rPr>
        <w:t xml:space="preserve"> nabavu interaktivnih zaslona (digitalnih ploča)</w:t>
      </w:r>
      <w:r w:rsidR="00F14587">
        <w:rPr>
          <w:rFonts w:ascii="Times New Roman" w:hAnsi="Times New Roman" w:cs="Times New Roman"/>
        </w:rPr>
        <w:t xml:space="preserve"> i  </w:t>
      </w:r>
      <w:r w:rsidR="006969E8" w:rsidRPr="007C5F78">
        <w:rPr>
          <w:rFonts w:ascii="Times New Roman" w:hAnsi="Times New Roman" w:cs="Times New Roman"/>
        </w:rPr>
        <w:t xml:space="preserve">knjiga za knjižnicu. </w:t>
      </w:r>
      <w:r w:rsidR="00F14587">
        <w:rPr>
          <w:rFonts w:ascii="Times New Roman" w:hAnsi="Times New Roman" w:cs="Times New Roman"/>
        </w:rPr>
        <w:t xml:space="preserve">U 2025. godini ostvareno je tek 9,21% kapitalnih prihoda ostvarenih u 2024. godini jer su završeni radovi na PŠ </w:t>
      </w:r>
      <w:proofErr w:type="spellStart"/>
      <w:r w:rsidR="00F14587">
        <w:rPr>
          <w:rFonts w:ascii="Times New Roman" w:hAnsi="Times New Roman" w:cs="Times New Roman"/>
        </w:rPr>
        <w:t>Miholec</w:t>
      </w:r>
      <w:proofErr w:type="spellEnd"/>
      <w:r w:rsidR="00F14587">
        <w:rPr>
          <w:rFonts w:ascii="Times New Roman" w:hAnsi="Times New Roman" w:cs="Times New Roman"/>
        </w:rPr>
        <w:t xml:space="preserve"> i nije bilo nikakvih građevinskih radova. </w:t>
      </w:r>
    </w:p>
    <w:p w:rsidR="00C5479C" w:rsidRDefault="006969E8" w:rsidP="00906A02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Rebalansom je planirano ostvarenje prihoda od poduzeća Željo-grad </w:t>
      </w:r>
      <w:r w:rsidR="003F6A0E" w:rsidRPr="007C5F78">
        <w:rPr>
          <w:rFonts w:ascii="Times New Roman" w:hAnsi="Times New Roman" w:cs="Times New Roman"/>
        </w:rPr>
        <w:t xml:space="preserve">za </w:t>
      </w:r>
      <w:r w:rsidR="00300A9D" w:rsidRPr="007C5F78">
        <w:rPr>
          <w:rFonts w:ascii="Times New Roman" w:hAnsi="Times New Roman" w:cs="Times New Roman"/>
        </w:rPr>
        <w:t xml:space="preserve">penale zbog kašnjenja u izvođenju radova na PŠ </w:t>
      </w:r>
      <w:proofErr w:type="spellStart"/>
      <w:r w:rsidR="00300A9D" w:rsidRPr="007C5F78">
        <w:rPr>
          <w:rFonts w:ascii="Times New Roman" w:hAnsi="Times New Roman" w:cs="Times New Roman"/>
        </w:rPr>
        <w:t>Miholec</w:t>
      </w:r>
      <w:proofErr w:type="spellEnd"/>
      <w:r w:rsidR="00300A9D" w:rsidRPr="007C5F78">
        <w:rPr>
          <w:rFonts w:ascii="Times New Roman" w:hAnsi="Times New Roman" w:cs="Times New Roman"/>
        </w:rPr>
        <w:t xml:space="preserve"> i planirani su prihodi od prodaje nefinancijske imovine, međutim prihodi nisu ostvareni. </w:t>
      </w:r>
    </w:p>
    <w:p w:rsidR="00A331AB" w:rsidRPr="007C5F78" w:rsidRDefault="00A331AB" w:rsidP="00906A02">
      <w:pPr>
        <w:jc w:val="both"/>
        <w:rPr>
          <w:rFonts w:ascii="Times New Roman" w:hAnsi="Times New Roman" w:cs="Times New Roman"/>
        </w:rPr>
      </w:pPr>
    </w:p>
    <w:p w:rsidR="007C5F78" w:rsidRPr="007C5F78" w:rsidRDefault="00300A9D" w:rsidP="00300A9D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3.1.2. Obrazloženje ostvarenja rashoda</w:t>
      </w:r>
    </w:p>
    <w:p w:rsidR="00A331AB" w:rsidRDefault="00300A9D" w:rsidP="00300A9D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Rashodi za 202</w:t>
      </w:r>
      <w:r w:rsidR="00F14587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 xml:space="preserve">. godinu planirani su u iznosu od </w:t>
      </w:r>
      <w:r w:rsidR="00F14587">
        <w:rPr>
          <w:rFonts w:ascii="Times New Roman" w:hAnsi="Times New Roman" w:cs="Times New Roman"/>
        </w:rPr>
        <w:t>2.057.275,06</w:t>
      </w:r>
      <w:r w:rsidRPr="007C5F78">
        <w:rPr>
          <w:rFonts w:ascii="Times New Roman" w:hAnsi="Times New Roman" w:cs="Times New Roman"/>
        </w:rPr>
        <w:t xml:space="preserve"> eura, a ostvareni su u iznosu od </w:t>
      </w:r>
      <w:r w:rsidR="00F14587">
        <w:rPr>
          <w:rFonts w:ascii="Times New Roman" w:hAnsi="Times New Roman" w:cs="Times New Roman"/>
        </w:rPr>
        <w:t>2.006.521,57</w:t>
      </w:r>
      <w:r w:rsidRPr="007C5F78">
        <w:rPr>
          <w:rFonts w:ascii="Times New Roman" w:hAnsi="Times New Roman" w:cs="Times New Roman"/>
        </w:rPr>
        <w:t xml:space="preserve"> eura, odnosno 97,</w:t>
      </w:r>
      <w:r w:rsidR="00F14587">
        <w:rPr>
          <w:rFonts w:ascii="Times New Roman" w:hAnsi="Times New Roman" w:cs="Times New Roman"/>
        </w:rPr>
        <w:t>53</w:t>
      </w:r>
      <w:r w:rsidRPr="007C5F78">
        <w:rPr>
          <w:rFonts w:ascii="Times New Roman" w:hAnsi="Times New Roman" w:cs="Times New Roman"/>
        </w:rPr>
        <w:t xml:space="preserve">%, što je za </w:t>
      </w:r>
      <w:r w:rsidR="00F14587">
        <w:rPr>
          <w:rFonts w:ascii="Times New Roman" w:hAnsi="Times New Roman" w:cs="Times New Roman"/>
        </w:rPr>
        <w:t>6,9</w:t>
      </w:r>
      <w:r w:rsidRPr="007C5F78">
        <w:rPr>
          <w:rFonts w:ascii="Times New Roman" w:hAnsi="Times New Roman" w:cs="Times New Roman"/>
        </w:rPr>
        <w:t>% više u odnosu na 202</w:t>
      </w:r>
      <w:r w:rsidR="00F14587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godinu.</w:t>
      </w:r>
    </w:p>
    <w:p w:rsidR="00A331AB" w:rsidRDefault="00A331AB" w:rsidP="00300A9D">
      <w:pPr>
        <w:jc w:val="both"/>
        <w:rPr>
          <w:rFonts w:ascii="Times New Roman" w:hAnsi="Times New Roman" w:cs="Times New Roman"/>
        </w:rPr>
      </w:pPr>
    </w:p>
    <w:p w:rsidR="00A331AB" w:rsidRDefault="00A331AB" w:rsidP="00300A9D">
      <w:pPr>
        <w:jc w:val="both"/>
        <w:rPr>
          <w:rFonts w:ascii="Times New Roman" w:hAnsi="Times New Roman" w:cs="Times New Roman"/>
        </w:rPr>
      </w:pPr>
    </w:p>
    <w:p w:rsidR="007C5F78" w:rsidRPr="007C5F78" w:rsidRDefault="007C5F78" w:rsidP="00300A9D">
      <w:pPr>
        <w:jc w:val="both"/>
        <w:rPr>
          <w:rFonts w:ascii="Times New Roman" w:hAnsi="Times New Roman" w:cs="Times New Roman"/>
        </w:rPr>
      </w:pPr>
    </w:p>
    <w:p w:rsidR="00F45A8F" w:rsidRPr="007C5F78" w:rsidRDefault="00300A9D" w:rsidP="00300A9D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lastRenderedPageBreak/>
        <w:t xml:space="preserve">Tabela 3. </w:t>
      </w:r>
      <w:r w:rsidR="00F45A8F" w:rsidRPr="007C5F78">
        <w:rPr>
          <w:rFonts w:ascii="Times New Roman" w:hAnsi="Times New Roman" w:cs="Times New Roman"/>
        </w:rPr>
        <w:t xml:space="preserve"> Pregled ostvarenja rashoda u 202</w:t>
      </w:r>
      <w:r w:rsidR="00F14587">
        <w:rPr>
          <w:rFonts w:ascii="Times New Roman" w:hAnsi="Times New Roman" w:cs="Times New Roman"/>
        </w:rPr>
        <w:t>4</w:t>
      </w:r>
      <w:r w:rsidR="00F45A8F" w:rsidRPr="007C5F78">
        <w:rPr>
          <w:rFonts w:ascii="Times New Roman" w:hAnsi="Times New Roman" w:cs="Times New Roman"/>
        </w:rPr>
        <w:t>. i 202</w:t>
      </w:r>
      <w:r w:rsidR="00F14587">
        <w:rPr>
          <w:rFonts w:ascii="Times New Roman" w:hAnsi="Times New Roman" w:cs="Times New Roman"/>
        </w:rPr>
        <w:t>5</w:t>
      </w:r>
      <w:r w:rsidR="00F45A8F" w:rsidRPr="007C5F78">
        <w:rPr>
          <w:rFonts w:ascii="Times New Roman" w:hAnsi="Times New Roman" w:cs="Times New Roman"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270"/>
      </w:tblGrid>
      <w:tr w:rsidR="00F45A8F" w:rsidRPr="007C5F78" w:rsidTr="003F082A">
        <w:tc>
          <w:tcPr>
            <w:tcW w:w="3823" w:type="dxa"/>
            <w:shd w:val="clear" w:color="auto" w:fill="D9E2F3" w:themeFill="accent1" w:themeFillTint="33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Izvršenje 202</w:t>
            </w:r>
            <w:r w:rsidR="004B2C8F">
              <w:rPr>
                <w:rFonts w:ascii="Times New Roman" w:hAnsi="Times New Roman" w:cs="Times New Roman"/>
                <w:b/>
              </w:rPr>
              <w:t>4</w:t>
            </w:r>
            <w:r w:rsidRPr="007C5F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Izvršenje 202</w:t>
            </w:r>
            <w:r w:rsidR="004B2C8F">
              <w:rPr>
                <w:rFonts w:ascii="Times New Roman" w:hAnsi="Times New Roman" w:cs="Times New Roman"/>
                <w:b/>
              </w:rPr>
              <w:t>5</w:t>
            </w:r>
            <w:r w:rsidRPr="007C5F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0" w:type="dxa"/>
            <w:shd w:val="clear" w:color="auto" w:fill="D9E2F3" w:themeFill="accent1" w:themeFillTint="33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Struktura</w:t>
            </w:r>
          </w:p>
        </w:tc>
      </w:tr>
      <w:tr w:rsidR="00F45A8F" w:rsidRPr="007C5F78" w:rsidTr="00285935">
        <w:tc>
          <w:tcPr>
            <w:tcW w:w="3823" w:type="dxa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0" w:type="dxa"/>
          </w:tcPr>
          <w:p w:rsidR="00F45A8F" w:rsidRPr="007C5F78" w:rsidRDefault="00F45A8F" w:rsidP="00285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F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Rashodi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1.876.967,50</w:t>
            </w:r>
          </w:p>
        </w:tc>
        <w:tc>
          <w:tcPr>
            <w:tcW w:w="1985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2.006.521,57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100,00%</w:t>
            </w:r>
          </w:p>
        </w:tc>
      </w:tr>
      <w:tr w:rsidR="004B2C8F" w:rsidRPr="007C5F78" w:rsidTr="003E6C21">
        <w:trPr>
          <w:trHeight w:val="532"/>
        </w:trPr>
        <w:tc>
          <w:tcPr>
            <w:tcW w:w="3823" w:type="dxa"/>
            <w:vAlign w:val="center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Rashodi poslovanja</w:t>
            </w:r>
          </w:p>
        </w:tc>
        <w:tc>
          <w:tcPr>
            <w:tcW w:w="1984" w:type="dxa"/>
            <w:vAlign w:val="center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1.700.885,28</w:t>
            </w:r>
          </w:p>
        </w:tc>
        <w:tc>
          <w:tcPr>
            <w:tcW w:w="1985" w:type="dxa"/>
            <w:vAlign w:val="center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1.978.893,48</w:t>
            </w:r>
          </w:p>
        </w:tc>
        <w:tc>
          <w:tcPr>
            <w:tcW w:w="1270" w:type="dxa"/>
            <w:vAlign w:val="center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90,62%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1.445.121,45</w:t>
            </w:r>
          </w:p>
        </w:tc>
        <w:tc>
          <w:tcPr>
            <w:tcW w:w="1985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1.711.697,79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84,96%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239.974,44</w:t>
            </w:r>
          </w:p>
        </w:tc>
        <w:tc>
          <w:tcPr>
            <w:tcW w:w="1985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253.253,</w:t>
            </w:r>
            <w:r w:rsidR="00FF38A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14,11%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0,00%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Pomoći dane u inozemstvo i unutar općeg proračuna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43,69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0,00%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Naknade građanima i kućanstvima na temelju osiguranja i druge naknade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14.566,40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13.221,02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0,86%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Rashodi za donacije, kazne, naknade šteta i kapitalne pomoći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1.169,00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720,58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0,07%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176.082,22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27.628,09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C5F78">
              <w:rPr>
                <w:rFonts w:ascii="Times New Roman" w:hAnsi="Times New Roman" w:cs="Times New Roman"/>
                <w:b/>
              </w:rPr>
              <w:t>9,38%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 xml:space="preserve">Rashodi za nabavu proizvedene dugotrajne imovine 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20.156,56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27.628,09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11,45%</w:t>
            </w:r>
          </w:p>
        </w:tc>
      </w:tr>
      <w:tr w:rsidR="004B2C8F" w:rsidRPr="007C5F78" w:rsidTr="00285935">
        <w:tc>
          <w:tcPr>
            <w:tcW w:w="3823" w:type="dxa"/>
          </w:tcPr>
          <w:p w:rsidR="004B2C8F" w:rsidRPr="007C5F78" w:rsidRDefault="004B2C8F" w:rsidP="004B2C8F">
            <w:pPr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Rashodi za dodatna ulaganja na nefinancijskoj imovini</w:t>
            </w:r>
          </w:p>
        </w:tc>
        <w:tc>
          <w:tcPr>
            <w:tcW w:w="1984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155.925,66</w:t>
            </w:r>
          </w:p>
        </w:tc>
        <w:tc>
          <w:tcPr>
            <w:tcW w:w="1985" w:type="dxa"/>
          </w:tcPr>
          <w:p w:rsidR="004B2C8F" w:rsidRPr="007C5F78" w:rsidRDefault="00FF38A2" w:rsidP="004B2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0" w:type="dxa"/>
          </w:tcPr>
          <w:p w:rsidR="004B2C8F" w:rsidRPr="007C5F78" w:rsidRDefault="004B2C8F" w:rsidP="004B2C8F">
            <w:pPr>
              <w:jc w:val="right"/>
              <w:rPr>
                <w:rFonts w:ascii="Times New Roman" w:hAnsi="Times New Roman" w:cs="Times New Roman"/>
              </w:rPr>
            </w:pPr>
            <w:r w:rsidRPr="007C5F78">
              <w:rPr>
                <w:rFonts w:ascii="Times New Roman" w:hAnsi="Times New Roman" w:cs="Times New Roman"/>
              </w:rPr>
              <w:t>88,55%</w:t>
            </w:r>
          </w:p>
        </w:tc>
      </w:tr>
    </w:tbl>
    <w:p w:rsidR="00F45A8F" w:rsidRPr="007C5F78" w:rsidRDefault="00F45A8F" w:rsidP="00300A9D">
      <w:pPr>
        <w:jc w:val="both"/>
        <w:rPr>
          <w:rFonts w:ascii="Times New Roman" w:hAnsi="Times New Roman" w:cs="Times New Roman"/>
        </w:rPr>
      </w:pPr>
    </w:p>
    <w:p w:rsidR="00AA3AD8" w:rsidRPr="007C5F78" w:rsidRDefault="00170C23" w:rsidP="00906A02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Rashodi poslovanja </w:t>
      </w:r>
      <w:r w:rsidR="005E7311" w:rsidRPr="007C5F78">
        <w:rPr>
          <w:rFonts w:ascii="Times New Roman" w:hAnsi="Times New Roman" w:cs="Times New Roman"/>
        </w:rPr>
        <w:t xml:space="preserve">planirani su u iznosu od </w:t>
      </w:r>
      <w:r w:rsidR="00FF38A2">
        <w:rPr>
          <w:rFonts w:ascii="Times New Roman" w:hAnsi="Times New Roman" w:cs="Times New Roman"/>
        </w:rPr>
        <w:t>2.008.275,06</w:t>
      </w:r>
      <w:r w:rsidR="00AA3AD8" w:rsidRPr="007C5F78">
        <w:rPr>
          <w:rFonts w:ascii="Times New Roman" w:hAnsi="Times New Roman" w:cs="Times New Roman"/>
        </w:rPr>
        <w:t xml:space="preserve"> eura, a izvršeni su u iznosu od 1.</w:t>
      </w:r>
      <w:r w:rsidR="00FF38A2">
        <w:rPr>
          <w:rFonts w:ascii="Times New Roman" w:hAnsi="Times New Roman" w:cs="Times New Roman"/>
        </w:rPr>
        <w:t>978.893,48</w:t>
      </w:r>
      <w:r w:rsidR="00AA3AD8" w:rsidRPr="007C5F78">
        <w:rPr>
          <w:rFonts w:ascii="Times New Roman" w:hAnsi="Times New Roman" w:cs="Times New Roman"/>
        </w:rPr>
        <w:t xml:space="preserve"> eura što predstavlja 98,</w:t>
      </w:r>
      <w:r w:rsidR="00FF38A2">
        <w:rPr>
          <w:rFonts w:ascii="Times New Roman" w:hAnsi="Times New Roman" w:cs="Times New Roman"/>
        </w:rPr>
        <w:t>54</w:t>
      </w:r>
      <w:r w:rsidR="00AA3AD8" w:rsidRPr="007C5F78">
        <w:rPr>
          <w:rFonts w:ascii="Times New Roman" w:hAnsi="Times New Roman" w:cs="Times New Roman"/>
        </w:rPr>
        <w:t xml:space="preserve">% izvršenja i čine </w:t>
      </w:r>
      <w:r w:rsidR="00FF38A2">
        <w:rPr>
          <w:rFonts w:ascii="Times New Roman" w:hAnsi="Times New Roman" w:cs="Times New Roman"/>
        </w:rPr>
        <w:t>96,19</w:t>
      </w:r>
      <w:r w:rsidR="00AA3AD8" w:rsidRPr="007C5F78">
        <w:rPr>
          <w:rFonts w:ascii="Times New Roman" w:hAnsi="Times New Roman" w:cs="Times New Roman"/>
        </w:rPr>
        <w:t xml:space="preserve">% planiranih rashoda. </w:t>
      </w:r>
    </w:p>
    <w:p w:rsidR="00300A9D" w:rsidRPr="007C5F78" w:rsidRDefault="00AA3AD8" w:rsidP="00906A02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8</w:t>
      </w:r>
      <w:r w:rsidR="00FF38A2">
        <w:rPr>
          <w:rFonts w:ascii="Times New Roman" w:hAnsi="Times New Roman" w:cs="Times New Roman"/>
        </w:rPr>
        <w:t>5,31</w:t>
      </w:r>
      <w:r w:rsidRPr="007C5F78">
        <w:rPr>
          <w:rFonts w:ascii="Times New Roman" w:hAnsi="Times New Roman" w:cs="Times New Roman"/>
        </w:rPr>
        <w:t xml:space="preserve">% </w:t>
      </w:r>
      <w:r w:rsidR="00FF38A2">
        <w:rPr>
          <w:rFonts w:ascii="Times New Roman" w:hAnsi="Times New Roman" w:cs="Times New Roman"/>
        </w:rPr>
        <w:t xml:space="preserve">ostvarenih </w:t>
      </w:r>
      <w:r w:rsidRPr="007C5F78">
        <w:rPr>
          <w:rFonts w:ascii="Times New Roman" w:hAnsi="Times New Roman" w:cs="Times New Roman"/>
        </w:rPr>
        <w:t xml:space="preserve">rashoda poslovanja čine rashodi za zaposlene koji su za </w:t>
      </w:r>
      <w:r w:rsidR="00FF38A2">
        <w:rPr>
          <w:rFonts w:ascii="Times New Roman" w:hAnsi="Times New Roman" w:cs="Times New Roman"/>
        </w:rPr>
        <w:t>18,45</w:t>
      </w:r>
      <w:r w:rsidRPr="007C5F78">
        <w:rPr>
          <w:rFonts w:ascii="Times New Roman" w:hAnsi="Times New Roman" w:cs="Times New Roman"/>
        </w:rPr>
        <w:t>% veći u odnosu na 202</w:t>
      </w:r>
      <w:r w:rsidR="00FF38A2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>. godinu</w:t>
      </w:r>
      <w:r w:rsidR="003B13B7">
        <w:rPr>
          <w:rFonts w:ascii="Times New Roman" w:hAnsi="Times New Roman" w:cs="Times New Roman"/>
        </w:rPr>
        <w:t xml:space="preserve"> zbog povećanja osnovice za obračun plaće, zapošljavanja još jedne pomoćnice u nastavi i zapošljavanja dvoje operativnih djelatnika za sigurnost i civilnu zaštitu krajem godine.</w:t>
      </w:r>
    </w:p>
    <w:p w:rsidR="00D8379B" w:rsidRPr="007C5F78" w:rsidRDefault="00AA3AD8" w:rsidP="00906A02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Materijalni rashodi čine </w:t>
      </w:r>
      <w:r w:rsidR="003B13B7">
        <w:rPr>
          <w:rFonts w:ascii="Times New Roman" w:hAnsi="Times New Roman" w:cs="Times New Roman"/>
        </w:rPr>
        <w:t>12,62</w:t>
      </w:r>
      <w:r w:rsidRPr="007C5F78">
        <w:rPr>
          <w:rFonts w:ascii="Times New Roman" w:hAnsi="Times New Roman" w:cs="Times New Roman"/>
        </w:rPr>
        <w:t xml:space="preserve">% rashoda poslovanja i </w:t>
      </w:r>
      <w:r w:rsidR="003B13B7">
        <w:rPr>
          <w:rFonts w:ascii="Times New Roman" w:hAnsi="Times New Roman" w:cs="Times New Roman"/>
        </w:rPr>
        <w:t xml:space="preserve">veći su </w:t>
      </w:r>
      <w:r w:rsidRPr="007C5F78">
        <w:rPr>
          <w:rFonts w:ascii="Times New Roman" w:hAnsi="Times New Roman" w:cs="Times New Roman"/>
        </w:rPr>
        <w:t>u odnosu na 202</w:t>
      </w:r>
      <w:r w:rsidR="003B13B7">
        <w:rPr>
          <w:rFonts w:ascii="Times New Roman" w:hAnsi="Times New Roman" w:cs="Times New Roman"/>
        </w:rPr>
        <w:t>4</w:t>
      </w:r>
      <w:r w:rsidRPr="007C5F78">
        <w:rPr>
          <w:rFonts w:ascii="Times New Roman" w:hAnsi="Times New Roman" w:cs="Times New Roman"/>
        </w:rPr>
        <w:t xml:space="preserve">. godinu </w:t>
      </w:r>
      <w:r w:rsidR="003B13B7">
        <w:rPr>
          <w:rFonts w:ascii="Times New Roman" w:hAnsi="Times New Roman" w:cs="Times New Roman"/>
        </w:rPr>
        <w:t xml:space="preserve">za 5,53%. </w:t>
      </w:r>
      <w:r w:rsidRPr="007C5F78">
        <w:rPr>
          <w:rFonts w:ascii="Times New Roman" w:hAnsi="Times New Roman" w:cs="Times New Roman"/>
        </w:rPr>
        <w:t>Odnose se na naknade troškova zaposlenima za službena putovanja, rashode za materijal i energiju, rashode za usluge, naknade troškova osobama izvan radnog odnosa</w:t>
      </w:r>
      <w:r w:rsidR="00D8379B" w:rsidRPr="007C5F78">
        <w:rPr>
          <w:rFonts w:ascii="Times New Roman" w:hAnsi="Times New Roman" w:cs="Times New Roman"/>
        </w:rPr>
        <w:t xml:space="preserve"> i ostalih nespomenutih rashoda poslovanja. Najveće povećanje</w:t>
      </w:r>
      <w:r w:rsidR="003B13B7">
        <w:rPr>
          <w:rFonts w:ascii="Times New Roman" w:hAnsi="Times New Roman" w:cs="Times New Roman"/>
        </w:rPr>
        <w:t xml:space="preserve"> troškova</w:t>
      </w:r>
      <w:r w:rsidR="00D8379B" w:rsidRPr="007C5F78">
        <w:rPr>
          <w:rFonts w:ascii="Times New Roman" w:hAnsi="Times New Roman" w:cs="Times New Roman"/>
        </w:rPr>
        <w:t xml:space="preserve"> u odnosu na 202</w:t>
      </w:r>
      <w:r w:rsidR="003B13B7">
        <w:rPr>
          <w:rFonts w:ascii="Times New Roman" w:hAnsi="Times New Roman" w:cs="Times New Roman"/>
        </w:rPr>
        <w:t>4</w:t>
      </w:r>
      <w:r w:rsidR="00D8379B" w:rsidRPr="007C5F78">
        <w:rPr>
          <w:rFonts w:ascii="Times New Roman" w:hAnsi="Times New Roman" w:cs="Times New Roman"/>
        </w:rPr>
        <w:t>. godinu je</w:t>
      </w:r>
      <w:r w:rsidR="003B13B7">
        <w:rPr>
          <w:rFonts w:ascii="Times New Roman" w:hAnsi="Times New Roman" w:cs="Times New Roman"/>
        </w:rPr>
        <w:t xml:space="preserve"> evidentirano na energiji, povećanje za čak 48,78%, te na intelektualnim i osobnim uslugama</w:t>
      </w:r>
      <w:r w:rsidR="00C33088">
        <w:rPr>
          <w:rFonts w:ascii="Times New Roman" w:hAnsi="Times New Roman" w:cs="Times New Roman"/>
        </w:rPr>
        <w:t>, konkretno zbog troška i</w:t>
      </w:r>
      <w:r w:rsidR="00C33088" w:rsidRPr="00C33088">
        <w:rPr>
          <w:rFonts w:ascii="Times New Roman" w:hAnsi="Times New Roman" w:cs="Times New Roman"/>
        </w:rPr>
        <w:t>zrad</w:t>
      </w:r>
      <w:r w:rsidR="00C33088">
        <w:rPr>
          <w:rFonts w:ascii="Times New Roman" w:hAnsi="Times New Roman" w:cs="Times New Roman"/>
        </w:rPr>
        <w:t>e</w:t>
      </w:r>
      <w:r w:rsidR="00C33088" w:rsidRPr="00C33088">
        <w:rPr>
          <w:rFonts w:ascii="Times New Roman" w:hAnsi="Times New Roman" w:cs="Times New Roman"/>
        </w:rPr>
        <w:t xml:space="preserve"> elaborata procjene rizika kućne vodoopskrbne mreže, analiz</w:t>
      </w:r>
      <w:r w:rsidR="00C33088">
        <w:rPr>
          <w:rFonts w:ascii="Times New Roman" w:hAnsi="Times New Roman" w:cs="Times New Roman"/>
        </w:rPr>
        <w:t>e</w:t>
      </w:r>
      <w:r w:rsidR="00C33088" w:rsidRPr="00C33088">
        <w:rPr>
          <w:rFonts w:ascii="Times New Roman" w:hAnsi="Times New Roman" w:cs="Times New Roman"/>
        </w:rPr>
        <w:t xml:space="preserve"> stanja, stručno</w:t>
      </w:r>
      <w:r w:rsidR="00C33088">
        <w:rPr>
          <w:rFonts w:ascii="Times New Roman" w:hAnsi="Times New Roman" w:cs="Times New Roman"/>
        </w:rPr>
        <w:t>g</w:t>
      </w:r>
      <w:r w:rsidR="00C33088" w:rsidRPr="00C33088">
        <w:rPr>
          <w:rFonts w:ascii="Times New Roman" w:hAnsi="Times New Roman" w:cs="Times New Roman"/>
        </w:rPr>
        <w:t xml:space="preserve"> mišljenj</w:t>
      </w:r>
      <w:r w:rsidR="00C33088">
        <w:rPr>
          <w:rFonts w:ascii="Times New Roman" w:hAnsi="Times New Roman" w:cs="Times New Roman"/>
        </w:rPr>
        <w:t>a</w:t>
      </w:r>
      <w:r w:rsidR="00C33088" w:rsidRPr="00C33088">
        <w:rPr>
          <w:rFonts w:ascii="Times New Roman" w:hAnsi="Times New Roman" w:cs="Times New Roman"/>
        </w:rPr>
        <w:t xml:space="preserve"> i prijedlog</w:t>
      </w:r>
      <w:r w:rsidR="00C33088">
        <w:rPr>
          <w:rFonts w:ascii="Times New Roman" w:hAnsi="Times New Roman" w:cs="Times New Roman"/>
        </w:rPr>
        <w:t>a mjera koji je iznosio 2.375,00 eura, a trebalo ga je dati izraditi u 2025. godini.</w:t>
      </w:r>
      <w:r w:rsidR="006D0C01">
        <w:rPr>
          <w:rFonts w:ascii="Times New Roman" w:hAnsi="Times New Roman" w:cs="Times New Roman"/>
        </w:rPr>
        <w:t xml:space="preserve"> Povećana je i naknada zbog nezapošljavanja osoba s invaliditetom, koja se povećava </w:t>
      </w:r>
      <w:r w:rsidR="001949F7">
        <w:rPr>
          <w:rFonts w:ascii="Times New Roman" w:hAnsi="Times New Roman" w:cs="Times New Roman"/>
        </w:rPr>
        <w:t xml:space="preserve">porastom minimalne plaće početkom svake godine. </w:t>
      </w:r>
    </w:p>
    <w:p w:rsidR="00F77902" w:rsidRDefault="00D8379B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Financijski rashod</w:t>
      </w:r>
      <w:r w:rsidR="00F77902">
        <w:rPr>
          <w:rFonts w:ascii="Times New Roman" w:hAnsi="Times New Roman" w:cs="Times New Roman"/>
        </w:rPr>
        <w:t>i</w:t>
      </w:r>
      <w:r w:rsidRPr="007C5F78">
        <w:rPr>
          <w:rFonts w:ascii="Times New Roman" w:hAnsi="Times New Roman" w:cs="Times New Roman"/>
        </w:rPr>
        <w:t xml:space="preserve"> u 202</w:t>
      </w:r>
      <w:r w:rsidR="00F77902">
        <w:rPr>
          <w:rFonts w:ascii="Times New Roman" w:hAnsi="Times New Roman" w:cs="Times New Roman"/>
        </w:rPr>
        <w:t>5</w:t>
      </w:r>
      <w:r w:rsidRPr="007C5F78">
        <w:rPr>
          <w:rFonts w:ascii="Times New Roman" w:hAnsi="Times New Roman" w:cs="Times New Roman"/>
        </w:rPr>
        <w:t>. godini</w:t>
      </w:r>
      <w:r w:rsidR="008276A1">
        <w:rPr>
          <w:rFonts w:ascii="Times New Roman" w:hAnsi="Times New Roman" w:cs="Times New Roman"/>
        </w:rPr>
        <w:t xml:space="preserve"> </w:t>
      </w:r>
      <w:r w:rsidR="00F77902">
        <w:rPr>
          <w:rFonts w:ascii="Times New Roman" w:hAnsi="Times New Roman" w:cs="Times New Roman"/>
        </w:rPr>
        <w:t xml:space="preserve">iznose 0,34 eura, dok tekućih prijenosa između proračunskih korisnika u 2025. godini nije bilo. </w:t>
      </w:r>
    </w:p>
    <w:p w:rsidR="00D8379B" w:rsidRPr="007C5F78" w:rsidRDefault="00D8379B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Naknade građanima i kućanstvima na temelju osiguranja i druge naknade, odnose se na nabavu radnih udžbenika za učenike škole</w:t>
      </w:r>
      <w:r w:rsidR="006423B7" w:rsidRPr="007C5F78">
        <w:rPr>
          <w:rFonts w:ascii="Times New Roman" w:hAnsi="Times New Roman" w:cs="Times New Roman"/>
        </w:rPr>
        <w:t xml:space="preserve">. Navedeni rashodi su </w:t>
      </w:r>
      <w:r w:rsidR="00F77902">
        <w:rPr>
          <w:rFonts w:ascii="Times New Roman" w:hAnsi="Times New Roman" w:cs="Times New Roman"/>
        </w:rPr>
        <w:t>manji</w:t>
      </w:r>
      <w:r w:rsidR="006423B7" w:rsidRPr="007C5F78">
        <w:rPr>
          <w:rFonts w:ascii="Times New Roman" w:hAnsi="Times New Roman" w:cs="Times New Roman"/>
        </w:rPr>
        <w:t xml:space="preserve"> u odnosu na 202</w:t>
      </w:r>
      <w:r w:rsidR="00F77902">
        <w:rPr>
          <w:rFonts w:ascii="Times New Roman" w:hAnsi="Times New Roman" w:cs="Times New Roman"/>
        </w:rPr>
        <w:t>4</w:t>
      </w:r>
      <w:r w:rsidR="006423B7" w:rsidRPr="007C5F78">
        <w:rPr>
          <w:rFonts w:ascii="Times New Roman" w:hAnsi="Times New Roman" w:cs="Times New Roman"/>
        </w:rPr>
        <w:t xml:space="preserve">. godinu zbog </w:t>
      </w:r>
      <w:r w:rsidR="00F77902">
        <w:rPr>
          <w:rFonts w:ascii="Times New Roman" w:hAnsi="Times New Roman" w:cs="Times New Roman"/>
        </w:rPr>
        <w:t>manjeg broja učenika.</w:t>
      </w:r>
    </w:p>
    <w:p w:rsidR="0091189D" w:rsidRDefault="006423B7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Rashodi za donacije, kazne, naknade šteta i kapitalne pomoći odnose se na tekuće donacije u naravi za nabavu higijenskih uložaka za djevojčice naše škole prema uputi Ministarstva znanosti, obrazovanja i mladih</w:t>
      </w:r>
      <w:r w:rsidR="0091189D">
        <w:rPr>
          <w:rFonts w:ascii="Times New Roman" w:hAnsi="Times New Roman" w:cs="Times New Roman"/>
        </w:rPr>
        <w:t xml:space="preserve"> i manje su u odnosu na 2024. godinu zbog manjeg broja učenika. </w:t>
      </w:r>
      <w:r w:rsidRPr="007C5F78">
        <w:rPr>
          <w:rFonts w:ascii="Times New Roman" w:hAnsi="Times New Roman" w:cs="Times New Roman"/>
        </w:rPr>
        <w:t xml:space="preserve"> </w:t>
      </w:r>
    </w:p>
    <w:p w:rsidR="008276A1" w:rsidRDefault="006423B7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Rashodi za nabavu nefinancijske imovine čine </w:t>
      </w:r>
      <w:r w:rsidR="0091189D">
        <w:rPr>
          <w:rFonts w:ascii="Times New Roman" w:hAnsi="Times New Roman" w:cs="Times New Roman"/>
        </w:rPr>
        <w:t>svega 1,3</w:t>
      </w:r>
      <w:r w:rsidRPr="007C5F78">
        <w:rPr>
          <w:rFonts w:ascii="Times New Roman" w:hAnsi="Times New Roman" w:cs="Times New Roman"/>
        </w:rPr>
        <w:t xml:space="preserve">8% ukupnih rashoda, a odnose se na rashode za nabavu proizvedene dugotrajne imovine </w:t>
      </w:r>
      <w:r w:rsidR="0091189D">
        <w:rPr>
          <w:rFonts w:ascii="Times New Roman" w:hAnsi="Times New Roman" w:cs="Times New Roman"/>
        </w:rPr>
        <w:t xml:space="preserve">– 4 pametne ploče za područne škole, 1 </w:t>
      </w:r>
      <w:r w:rsidR="008276A1">
        <w:rPr>
          <w:rFonts w:ascii="Times New Roman" w:hAnsi="Times New Roman" w:cs="Times New Roman"/>
        </w:rPr>
        <w:t xml:space="preserve">pametna </w:t>
      </w:r>
      <w:r w:rsidR="0091189D">
        <w:rPr>
          <w:rFonts w:ascii="Times New Roman" w:hAnsi="Times New Roman" w:cs="Times New Roman"/>
        </w:rPr>
        <w:t>ploča za knjižnicu MŠ</w:t>
      </w:r>
      <w:r w:rsidR="008276A1">
        <w:rPr>
          <w:rFonts w:ascii="Times New Roman" w:hAnsi="Times New Roman" w:cs="Times New Roman"/>
        </w:rPr>
        <w:t xml:space="preserve"> u vrijednosti 7.195,00 eura,</w:t>
      </w:r>
      <w:r w:rsidRPr="007C5F78">
        <w:rPr>
          <w:rFonts w:ascii="Times New Roman" w:hAnsi="Times New Roman" w:cs="Times New Roman"/>
        </w:rPr>
        <w:t xml:space="preserve"> </w:t>
      </w:r>
      <w:r w:rsidR="008276A1">
        <w:rPr>
          <w:rFonts w:ascii="Times New Roman" w:hAnsi="Times New Roman" w:cs="Times New Roman"/>
        </w:rPr>
        <w:t xml:space="preserve">garderobni ormari za učenike matične škole vrijednosti </w:t>
      </w:r>
      <w:r w:rsidR="008276A1">
        <w:rPr>
          <w:rFonts w:ascii="Times New Roman" w:hAnsi="Times New Roman" w:cs="Times New Roman"/>
        </w:rPr>
        <w:lastRenderedPageBreak/>
        <w:t xml:space="preserve">8.352,50 eura, uređaj za pranje poda sa opremom u iznosu od 4.584,00 eura, vatrogasni aparati za 894,10 eura, klima uređaji za PŠ </w:t>
      </w:r>
      <w:proofErr w:type="spellStart"/>
      <w:r w:rsidR="008276A1">
        <w:rPr>
          <w:rFonts w:ascii="Times New Roman" w:hAnsi="Times New Roman" w:cs="Times New Roman"/>
        </w:rPr>
        <w:t>Fodrovec</w:t>
      </w:r>
      <w:proofErr w:type="spellEnd"/>
      <w:r w:rsidR="008276A1">
        <w:rPr>
          <w:rFonts w:ascii="Times New Roman" w:hAnsi="Times New Roman" w:cs="Times New Roman"/>
        </w:rPr>
        <w:t xml:space="preserve"> – 2 komada i matičnu školu (tajništvo i ured pedagoga) u vrijednosti 4.349,17 eura. Trajnih udžbenika nabavljeno je u vrijednosti 84,17 eura, stručne literature za 13,27 eura, dok su knjige i slikovnice za knjižnicu iznosile 2.155,88 eura. </w:t>
      </w:r>
    </w:p>
    <w:p w:rsidR="008276A1" w:rsidRDefault="0091189D" w:rsidP="00642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423B7" w:rsidRPr="007C5F78">
        <w:rPr>
          <w:rFonts w:ascii="Times New Roman" w:hAnsi="Times New Roman" w:cs="Times New Roman"/>
        </w:rPr>
        <w:t>ashod</w:t>
      </w:r>
      <w:r>
        <w:rPr>
          <w:rFonts w:ascii="Times New Roman" w:hAnsi="Times New Roman" w:cs="Times New Roman"/>
        </w:rPr>
        <w:t>a</w:t>
      </w:r>
      <w:r w:rsidR="006423B7" w:rsidRPr="007C5F78">
        <w:rPr>
          <w:rFonts w:ascii="Times New Roman" w:hAnsi="Times New Roman" w:cs="Times New Roman"/>
        </w:rPr>
        <w:t xml:space="preserve"> za dodatna ulaganja na nefinancijskoj imovini </w:t>
      </w:r>
      <w:r>
        <w:rPr>
          <w:rFonts w:ascii="Times New Roman" w:hAnsi="Times New Roman" w:cs="Times New Roman"/>
        </w:rPr>
        <w:t xml:space="preserve">u 2025. godini nije bilo. </w:t>
      </w:r>
    </w:p>
    <w:p w:rsidR="008276A1" w:rsidRDefault="008276A1" w:rsidP="006423B7">
      <w:pPr>
        <w:jc w:val="both"/>
        <w:rPr>
          <w:rFonts w:ascii="Times New Roman" w:hAnsi="Times New Roman" w:cs="Times New Roman"/>
        </w:rPr>
      </w:pPr>
    </w:p>
    <w:p w:rsidR="00BE675E" w:rsidRDefault="00BE675E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3.1.3.</w:t>
      </w:r>
      <w:r w:rsidR="000F29BA" w:rsidRPr="007C5F78">
        <w:rPr>
          <w:rFonts w:ascii="Times New Roman" w:hAnsi="Times New Roman" w:cs="Times New Roman"/>
        </w:rPr>
        <w:t xml:space="preserve"> Obrazloženje manjka/viška </w:t>
      </w:r>
    </w:p>
    <w:p w:rsidR="007C5F78" w:rsidRPr="007C5F78" w:rsidRDefault="00C97DD2" w:rsidP="00642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Sučeljavanjem ostvarenja prihoda i izvršenja rashoda po istim kategorijama izvora financiranja utvrđen je financijski rezultat za 2025. godinu koji se sastoji od viškova i manjkova po izvorima. </w:t>
      </w:r>
    </w:p>
    <w:p w:rsidR="007C5F78" w:rsidRPr="007C5F78" w:rsidRDefault="00903FBD" w:rsidP="00903FBD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Prema godišnjem obračunu financijskog plana Osnovne škole Sveti Petar Orehovec ostvaren je </w:t>
      </w:r>
      <w:r w:rsidR="008276A1">
        <w:rPr>
          <w:rFonts w:ascii="Times New Roman" w:hAnsi="Times New Roman" w:cs="Times New Roman"/>
        </w:rPr>
        <w:t>manjak</w:t>
      </w:r>
      <w:r w:rsidRPr="007C5F78">
        <w:rPr>
          <w:rFonts w:ascii="Times New Roman" w:hAnsi="Times New Roman" w:cs="Times New Roman"/>
        </w:rPr>
        <w:t xml:space="preserve"> prihoda iz tekućeg razdoblja u iznosu od </w:t>
      </w:r>
      <w:r w:rsidR="0006260E">
        <w:rPr>
          <w:rFonts w:ascii="Times New Roman" w:hAnsi="Times New Roman" w:cs="Times New Roman"/>
        </w:rPr>
        <w:t>-153.293,52</w:t>
      </w:r>
      <w:r w:rsidRPr="007C5F78">
        <w:rPr>
          <w:rFonts w:ascii="Times New Roman" w:hAnsi="Times New Roman" w:cs="Times New Roman"/>
        </w:rPr>
        <w:t xml:space="preserve"> eura. </w:t>
      </w:r>
    </w:p>
    <w:p w:rsidR="0006260E" w:rsidRDefault="00903FBD" w:rsidP="00903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C5F78">
        <w:rPr>
          <w:rFonts w:ascii="Times New Roman" w:eastAsia="Times New Roman" w:hAnsi="Times New Roman" w:cs="Times New Roman"/>
          <w:lang w:eastAsia="hr-HR"/>
        </w:rPr>
        <w:t xml:space="preserve">Rezultat </w:t>
      </w:r>
      <w:r w:rsidR="0006260E">
        <w:rPr>
          <w:rFonts w:ascii="Times New Roman" w:eastAsia="Times New Roman" w:hAnsi="Times New Roman" w:cs="Times New Roman"/>
          <w:lang w:eastAsia="hr-HR"/>
        </w:rPr>
        <w:t xml:space="preserve">na dan 31.12.2024. godine iznosio je </w:t>
      </w:r>
      <w:r w:rsidR="00217A0E">
        <w:rPr>
          <w:rFonts w:ascii="Times New Roman" w:eastAsia="Times New Roman" w:hAnsi="Times New Roman" w:cs="Times New Roman"/>
          <w:lang w:eastAsia="hr-HR"/>
        </w:rPr>
        <w:t xml:space="preserve">7.209,95 eura iz kojeg je preneseno 191,15 eura za voditelje ŽSV OŠ Ljudevita </w:t>
      </w:r>
      <w:proofErr w:type="spellStart"/>
      <w:r w:rsidR="00217A0E">
        <w:rPr>
          <w:rFonts w:ascii="Times New Roman" w:eastAsia="Times New Roman" w:hAnsi="Times New Roman" w:cs="Times New Roman"/>
          <w:lang w:eastAsia="hr-HR"/>
        </w:rPr>
        <w:t>Modeca</w:t>
      </w:r>
      <w:proofErr w:type="spellEnd"/>
      <w:r w:rsidR="00217A0E">
        <w:rPr>
          <w:rFonts w:ascii="Times New Roman" w:eastAsia="Times New Roman" w:hAnsi="Times New Roman" w:cs="Times New Roman"/>
          <w:lang w:eastAsia="hr-HR"/>
        </w:rPr>
        <w:t xml:space="preserve"> Križevci, tako da je na raspolaganju preostalo 7.018,80 eura. U 2025. godini za iznos kapitalnih prijenosa provedena je korekcija rezultata, tako da je sučeljavanjem prihoda i rashoda utvrđen manjak prihoda poslovanja u iznosu od 126.990,78 eura i manjak prihoda od nefinancijske imovine u iznosu od 19.283,94 eura. Razlog nastanka tako značajnog manjka je metodološki manjak koji se odnosi na plaće za zaposlene i iznosi -141.844,25 eura, a podmirit će se u 2026. godini. </w:t>
      </w:r>
    </w:p>
    <w:p w:rsidR="0006260E" w:rsidRDefault="0006260E" w:rsidP="00903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C5F78" w:rsidRDefault="007C5F78" w:rsidP="00903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03FBD" w:rsidRPr="007C5F78" w:rsidRDefault="007C5F78" w:rsidP="00903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</w:t>
      </w:r>
      <w:r w:rsidR="00903FBD" w:rsidRPr="007C5F78">
        <w:rPr>
          <w:rFonts w:ascii="Times New Roman" w:eastAsia="Times New Roman" w:hAnsi="Times New Roman" w:cs="Times New Roman"/>
          <w:lang w:eastAsia="hr-HR"/>
        </w:rPr>
        <w:t>abela 4. Rezultat poslovanja po izvorima financiranja na dan 31.12.202</w:t>
      </w:r>
      <w:r w:rsidR="00217A0E">
        <w:rPr>
          <w:rFonts w:ascii="Times New Roman" w:eastAsia="Times New Roman" w:hAnsi="Times New Roman" w:cs="Times New Roman"/>
          <w:lang w:eastAsia="hr-HR"/>
        </w:rPr>
        <w:t>5</w:t>
      </w:r>
      <w:r w:rsidR="00903FBD" w:rsidRPr="007C5F78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903FBD" w:rsidRPr="007C5F78" w:rsidRDefault="00903FBD" w:rsidP="00903F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7152" w:type="dxa"/>
        <w:tblLook w:val="04A0" w:firstRow="1" w:lastRow="0" w:firstColumn="1" w:lastColumn="0" w:noHBand="0" w:noVBand="1"/>
      </w:tblPr>
      <w:tblGrid>
        <w:gridCol w:w="2029"/>
        <w:gridCol w:w="2190"/>
        <w:gridCol w:w="2933"/>
      </w:tblGrid>
      <w:tr w:rsidR="00903FBD" w:rsidRPr="007C5F78" w:rsidTr="00297D90">
        <w:trPr>
          <w:trHeight w:val="3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03FBD" w:rsidRPr="007C5F78" w:rsidRDefault="00903FBD" w:rsidP="0029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03FBD" w:rsidRPr="007C5F78" w:rsidRDefault="00903FBD" w:rsidP="0029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Višak /manjak prihoda poslovanja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03FBD" w:rsidRPr="007C5F78" w:rsidRDefault="00903FBD" w:rsidP="0029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Višak /manjak prihoda od nefinancijske imovine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-4.511,72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C50548" w:rsidP="00C97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0,00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303,68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386,04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-88</w:t>
            </w:r>
            <w:r w:rsidR="00903FBD"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-141.844,25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17.212,72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  <w:r w:rsidR="00C5054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18.403,94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  <w:r w:rsidR="00C5054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Školska shema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-505,17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903FBD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C50548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48" w:rsidRPr="007C5F78" w:rsidRDefault="00C50548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 Prilika za sve 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4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-1.240,28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48" w:rsidRPr="007C5F7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25668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487,27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D" w:rsidRPr="0025668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C50548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48" w:rsidRPr="007C5F78" w:rsidRDefault="00C50548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4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2.720,93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48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  <w:tr w:rsidR="00903FBD" w:rsidRPr="007C5F78" w:rsidTr="00E55847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7C5F78" w:rsidRDefault="00903FBD" w:rsidP="00903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C5F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C14056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405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126.990,78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BD" w:rsidRPr="00C14056" w:rsidRDefault="00C50548" w:rsidP="0090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405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19.283,94</w:t>
            </w:r>
          </w:p>
        </w:tc>
      </w:tr>
    </w:tbl>
    <w:p w:rsidR="005E1FDB" w:rsidRPr="007C5F78" w:rsidRDefault="005E1FDB" w:rsidP="006423B7">
      <w:pPr>
        <w:jc w:val="both"/>
        <w:rPr>
          <w:rFonts w:ascii="Times New Roman" w:hAnsi="Times New Roman" w:cs="Times New Roman"/>
        </w:rPr>
      </w:pPr>
    </w:p>
    <w:p w:rsidR="005E1FDB" w:rsidRPr="007C5F78" w:rsidRDefault="005E1FDB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3.2. Obrazloženje posebnog dijela izvještaja o izvršenju financijskog plana</w:t>
      </w:r>
    </w:p>
    <w:p w:rsidR="000F29BA" w:rsidRDefault="00CA5CD4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 xml:space="preserve">Posebni dio Financijskog plana </w:t>
      </w:r>
      <w:r w:rsidR="005E1FDB" w:rsidRPr="007C5F78">
        <w:rPr>
          <w:rFonts w:ascii="Times New Roman" w:hAnsi="Times New Roman" w:cs="Times New Roman"/>
        </w:rPr>
        <w:t>Osnovn</w:t>
      </w:r>
      <w:r w:rsidRPr="007C5F78">
        <w:rPr>
          <w:rFonts w:ascii="Times New Roman" w:hAnsi="Times New Roman" w:cs="Times New Roman"/>
        </w:rPr>
        <w:t>e</w:t>
      </w:r>
      <w:r w:rsidR="005E1FDB" w:rsidRPr="007C5F78">
        <w:rPr>
          <w:rFonts w:ascii="Times New Roman" w:hAnsi="Times New Roman" w:cs="Times New Roman"/>
        </w:rPr>
        <w:t xml:space="preserve"> škol</w:t>
      </w:r>
      <w:r w:rsidRPr="007C5F78">
        <w:rPr>
          <w:rFonts w:ascii="Times New Roman" w:hAnsi="Times New Roman" w:cs="Times New Roman"/>
        </w:rPr>
        <w:t>e</w:t>
      </w:r>
      <w:r w:rsidR="005E1FDB" w:rsidRPr="007C5F78">
        <w:rPr>
          <w:rFonts w:ascii="Times New Roman" w:hAnsi="Times New Roman" w:cs="Times New Roman"/>
        </w:rPr>
        <w:t xml:space="preserve"> Sveti Petar</w:t>
      </w:r>
      <w:r w:rsidRPr="007C5F78">
        <w:rPr>
          <w:rFonts w:ascii="Times New Roman" w:hAnsi="Times New Roman" w:cs="Times New Roman"/>
        </w:rPr>
        <w:t xml:space="preserve"> Orehovec sastoji se od</w:t>
      </w:r>
      <w:r w:rsidR="0055671F">
        <w:rPr>
          <w:rFonts w:ascii="Times New Roman" w:hAnsi="Times New Roman" w:cs="Times New Roman"/>
        </w:rPr>
        <w:t xml:space="preserve"> dvije glave</w:t>
      </w:r>
      <w:r w:rsidR="00533208">
        <w:rPr>
          <w:rFonts w:ascii="Times New Roman" w:hAnsi="Times New Roman" w:cs="Times New Roman"/>
        </w:rPr>
        <w:t>,</w:t>
      </w:r>
      <w:r w:rsidRPr="007C5F78">
        <w:rPr>
          <w:rFonts w:ascii="Times New Roman" w:hAnsi="Times New Roman" w:cs="Times New Roman"/>
        </w:rPr>
        <w:t xml:space="preserve"> dva programa, koji se sastoje od nekoliko aktivnosti, kapitalnih i tekućih projekata. </w:t>
      </w:r>
    </w:p>
    <w:p w:rsidR="00533208" w:rsidRPr="007C5F78" w:rsidRDefault="00533208" w:rsidP="00642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GLAVA 00701 OSNOVNO ŠKOLSTVO</w:t>
      </w:r>
    </w:p>
    <w:p w:rsidR="00C27BF3" w:rsidRPr="007C5F78" w:rsidRDefault="00C27BF3" w:rsidP="006423B7">
      <w:pPr>
        <w:jc w:val="both"/>
        <w:rPr>
          <w:rFonts w:ascii="Times New Roman" w:hAnsi="Times New Roman" w:cs="Times New Roman"/>
        </w:rPr>
      </w:pPr>
      <w:r w:rsidRPr="007C5F78">
        <w:rPr>
          <w:rFonts w:ascii="Times New Roman" w:hAnsi="Times New Roman" w:cs="Times New Roman"/>
        </w:rPr>
        <w:t>Program 7001 – Redovni program osnovnog školstva, aktivnosti</w:t>
      </w:r>
      <w:r w:rsidR="00A85F39">
        <w:rPr>
          <w:rFonts w:ascii="Times New Roman" w:hAnsi="Times New Roman" w:cs="Times New Roman"/>
        </w:rPr>
        <w:t xml:space="preserve"> i projekti</w:t>
      </w:r>
      <w:r w:rsidRPr="007C5F78">
        <w:rPr>
          <w:rFonts w:ascii="Times New Roman" w:hAnsi="Times New Roman" w:cs="Times New Roman"/>
        </w:rPr>
        <w:t xml:space="preserve"> su:</w:t>
      </w:r>
    </w:p>
    <w:p w:rsidR="007C5F78" w:rsidRDefault="007C5F78" w:rsidP="003E3A2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E3A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07001 U</w:t>
      </w:r>
      <w:r w:rsidR="00C27BF3" w:rsidRPr="007C5F78">
        <w:rPr>
          <w:rFonts w:ascii="Times New Roman" w:hAnsi="Times New Roman" w:cs="Times New Roman"/>
        </w:rPr>
        <w:t xml:space="preserve">pravljanje i administracija </w:t>
      </w:r>
      <w:r w:rsidR="00DD78A7" w:rsidRPr="007C5F78">
        <w:rPr>
          <w:rFonts w:ascii="Times New Roman" w:hAnsi="Times New Roman" w:cs="Times New Roman"/>
        </w:rPr>
        <w:t>–</w:t>
      </w:r>
      <w:r w:rsidR="003B3125" w:rsidRPr="007C5F78">
        <w:rPr>
          <w:rFonts w:ascii="Times New Roman" w:hAnsi="Times New Roman" w:cs="Times New Roman"/>
        </w:rPr>
        <w:t xml:space="preserve"> </w:t>
      </w:r>
      <w:r w:rsidR="00DD78A7" w:rsidRPr="007C5F78">
        <w:rPr>
          <w:rFonts w:ascii="Times New Roman" w:hAnsi="Times New Roman" w:cs="Times New Roman"/>
        </w:rPr>
        <w:t>U 202</w:t>
      </w:r>
      <w:r w:rsidR="00C14056">
        <w:rPr>
          <w:rFonts w:ascii="Times New Roman" w:hAnsi="Times New Roman" w:cs="Times New Roman"/>
        </w:rPr>
        <w:t>5</w:t>
      </w:r>
      <w:r w:rsidR="00DD78A7" w:rsidRPr="007C5F78">
        <w:rPr>
          <w:rFonts w:ascii="Times New Roman" w:hAnsi="Times New Roman" w:cs="Times New Roman"/>
        </w:rPr>
        <w:t>. godini su financirane b</w:t>
      </w:r>
      <w:r w:rsidR="00C14056">
        <w:rPr>
          <w:rFonts w:ascii="Times New Roman" w:hAnsi="Times New Roman" w:cs="Times New Roman"/>
        </w:rPr>
        <w:t>ruto</w:t>
      </w:r>
      <w:r w:rsidR="00DD78A7" w:rsidRPr="007C5F78">
        <w:rPr>
          <w:rFonts w:ascii="Times New Roman" w:hAnsi="Times New Roman" w:cs="Times New Roman"/>
        </w:rPr>
        <w:t xml:space="preserve"> plaće, doprinosi, jubilarne nagrade, darovi za djecu i ostala materijalna prava, te prijevoz na posao i s posla za sve djelatnike OŠ Sveti Petar Orehove</w:t>
      </w:r>
      <w:r>
        <w:rPr>
          <w:rFonts w:ascii="Times New Roman" w:hAnsi="Times New Roman" w:cs="Times New Roman"/>
        </w:rPr>
        <w:t>c</w:t>
      </w:r>
      <w:r w:rsidR="00DD0232">
        <w:rPr>
          <w:rFonts w:ascii="Times New Roman" w:hAnsi="Times New Roman" w:cs="Times New Roman"/>
        </w:rPr>
        <w:t xml:space="preserve"> (koji ostvaruju  to pravo) </w:t>
      </w:r>
      <w:r>
        <w:rPr>
          <w:rFonts w:ascii="Times New Roman" w:hAnsi="Times New Roman" w:cs="Times New Roman"/>
        </w:rPr>
        <w:t xml:space="preserve"> i naknada zbog nezapošljavanja osoba s invaliditetom.</w:t>
      </w:r>
      <w:r w:rsidR="00DD78A7" w:rsidRPr="007C5F78">
        <w:rPr>
          <w:rFonts w:ascii="Times New Roman" w:hAnsi="Times New Roman" w:cs="Times New Roman"/>
        </w:rPr>
        <w:t xml:space="preserve"> Sve obveze podmirene su pravovremeno, prema Zakonu </w:t>
      </w:r>
      <w:r w:rsidR="00DD78A7" w:rsidRPr="007C5F78">
        <w:rPr>
          <w:rFonts w:ascii="Times New Roman" w:hAnsi="Times New Roman" w:cs="Times New Roman"/>
        </w:rPr>
        <w:lastRenderedPageBreak/>
        <w:t>o plaćama</w:t>
      </w:r>
      <w:r w:rsidR="003B3125" w:rsidRPr="007C5F78">
        <w:rPr>
          <w:rFonts w:ascii="Times New Roman" w:hAnsi="Times New Roman" w:cs="Times New Roman"/>
        </w:rPr>
        <w:t xml:space="preserve"> u</w:t>
      </w:r>
      <w:r w:rsidR="00DD78A7" w:rsidRPr="007C5F78">
        <w:rPr>
          <w:rFonts w:ascii="Times New Roman" w:hAnsi="Times New Roman" w:cs="Times New Roman"/>
        </w:rPr>
        <w:t xml:space="preserve">  javnim službama, Temeljnom kolektivnom ugovoru za zaposlene u javnim službama i Kolektivnom ugovoru za zaposlenike osnovnoškolskih ustanova </w:t>
      </w:r>
      <w:r w:rsidR="003B3125" w:rsidRPr="007C5F78">
        <w:rPr>
          <w:rFonts w:ascii="Times New Roman" w:hAnsi="Times New Roman" w:cs="Times New Roman"/>
        </w:rPr>
        <w:t xml:space="preserve">na zadovoljstvo svih djelatnika škole što je pokazatelj uspješnosti. </w:t>
      </w:r>
      <w:r w:rsidR="00D206D3" w:rsidRPr="007C5F78">
        <w:rPr>
          <w:rFonts w:ascii="Times New Roman" w:hAnsi="Times New Roman" w:cs="Times New Roman"/>
        </w:rPr>
        <w:t xml:space="preserve">Navedena aktivnost čini </w:t>
      </w:r>
      <w:r w:rsidR="00C14056">
        <w:rPr>
          <w:rFonts w:ascii="Times New Roman" w:hAnsi="Times New Roman" w:cs="Times New Roman"/>
        </w:rPr>
        <w:t>85,97</w:t>
      </w:r>
      <w:r w:rsidR="00D206D3" w:rsidRPr="007C5F78">
        <w:rPr>
          <w:rFonts w:ascii="Times New Roman" w:hAnsi="Times New Roman" w:cs="Times New Roman"/>
        </w:rPr>
        <w:t>% ukupnog financijskog plana</w:t>
      </w:r>
      <w:r>
        <w:rPr>
          <w:rFonts w:ascii="Times New Roman" w:hAnsi="Times New Roman" w:cs="Times New Roman"/>
        </w:rPr>
        <w:t xml:space="preserve">, a financira se iz sredstava državnog proračuna odnosno sredstvima Ministarstva znanosti, obrazovanja i mladih. </w:t>
      </w:r>
    </w:p>
    <w:p w:rsidR="003E3A26" w:rsidRPr="003E3A26" w:rsidRDefault="003E3A26" w:rsidP="003E3A26">
      <w:pPr>
        <w:pStyle w:val="Odlomakpopisa"/>
        <w:jc w:val="both"/>
        <w:rPr>
          <w:rFonts w:ascii="Times New Roman" w:hAnsi="Times New Roman" w:cs="Times New Roman"/>
        </w:rPr>
      </w:pPr>
    </w:p>
    <w:p w:rsidR="00691D71" w:rsidRPr="005C6289" w:rsidRDefault="003E3A26" w:rsidP="005C628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A1107002 R</w:t>
      </w:r>
      <w:r w:rsidR="00D206D3" w:rsidRPr="007C5F78">
        <w:rPr>
          <w:rFonts w:ascii="Times New Roman" w:hAnsi="Times New Roman" w:cs="Times New Roman"/>
        </w:rPr>
        <w:t xml:space="preserve">edovni rad OŠ </w:t>
      </w:r>
      <w:r w:rsidR="003010D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010D5">
        <w:rPr>
          <w:rFonts w:ascii="Times New Roman" w:hAnsi="Times New Roman" w:cs="Times New Roman"/>
        </w:rPr>
        <w:t xml:space="preserve">iz izvora financiranja </w:t>
      </w:r>
      <w:r w:rsidR="00C14056">
        <w:rPr>
          <w:rFonts w:ascii="Times New Roman" w:hAnsi="Times New Roman" w:cs="Times New Roman"/>
        </w:rPr>
        <w:t>1</w:t>
      </w:r>
      <w:r w:rsidR="003010D5">
        <w:rPr>
          <w:rFonts w:ascii="Times New Roman" w:hAnsi="Times New Roman" w:cs="Times New Roman"/>
        </w:rPr>
        <w:t xml:space="preserve">1 – </w:t>
      </w:r>
      <w:r w:rsidR="00C14056">
        <w:rPr>
          <w:rFonts w:ascii="Times New Roman" w:hAnsi="Times New Roman" w:cs="Times New Roman"/>
        </w:rPr>
        <w:t>PRIHODI OD POREZA ZA REDOVNU DJELATNOST</w:t>
      </w:r>
      <w:r w:rsidR="00691D71">
        <w:rPr>
          <w:rFonts w:ascii="Times New Roman" w:hAnsi="Times New Roman" w:cs="Times New Roman"/>
        </w:rPr>
        <w:t xml:space="preserve"> – </w:t>
      </w:r>
      <w:r w:rsidR="00C14056">
        <w:rPr>
          <w:rFonts w:ascii="Times New Roman" w:hAnsi="Times New Roman" w:cs="Times New Roman"/>
        </w:rPr>
        <w:t>financiraju</w:t>
      </w:r>
      <w:r w:rsidR="00691D71">
        <w:rPr>
          <w:rFonts w:ascii="Times New Roman" w:hAnsi="Times New Roman" w:cs="Times New Roman"/>
        </w:rPr>
        <w:t xml:space="preserve"> se</w:t>
      </w:r>
      <w:r w:rsidR="00C14056">
        <w:rPr>
          <w:rFonts w:ascii="Times New Roman" w:hAnsi="Times New Roman" w:cs="Times New Roman"/>
        </w:rPr>
        <w:t xml:space="preserve"> troškovi za koje nemamo dovoljno decentraliziranih sredstva i vlastitih izvora</w:t>
      </w:r>
      <w:r w:rsidR="00691D71">
        <w:rPr>
          <w:rFonts w:ascii="Times New Roman" w:hAnsi="Times New Roman" w:cs="Times New Roman"/>
        </w:rPr>
        <w:t xml:space="preserve"> (energija, telefonske, komunalne, intelektualne, računalne usluge i najamnine). Iz izvora financiranja 12 – DECENTRALIZIRANA SREDSTVA -</w:t>
      </w:r>
      <w:r w:rsidR="00DD0232">
        <w:rPr>
          <w:rFonts w:ascii="Times New Roman" w:hAnsi="Times New Roman" w:cs="Times New Roman"/>
        </w:rPr>
        <w:t xml:space="preserve"> </w:t>
      </w:r>
      <w:r w:rsidR="00691D71">
        <w:rPr>
          <w:rFonts w:ascii="Times New Roman" w:hAnsi="Times New Roman" w:cs="Times New Roman"/>
        </w:rPr>
        <w:t>OSNOVNO ŠKOLSTVO -</w:t>
      </w:r>
      <w:r w:rsidR="003010D5">
        <w:rPr>
          <w:rFonts w:ascii="Times New Roman" w:hAnsi="Times New Roman" w:cs="Times New Roman"/>
        </w:rPr>
        <w:t xml:space="preserve"> </w:t>
      </w:r>
      <w:r w:rsidRPr="003E3A26">
        <w:rPr>
          <w:rFonts w:ascii="Times New Roman" w:hAnsi="Times New Roman" w:cs="Times New Roman"/>
        </w:rPr>
        <w:t>Odlukom o kriterijima, mjerilima i načinu financiranja decentraliziranih funkcija</w:t>
      </w:r>
      <w:r>
        <w:rPr>
          <w:rFonts w:ascii="Times New Roman" w:hAnsi="Times New Roman" w:cs="Times New Roman"/>
        </w:rPr>
        <w:t xml:space="preserve"> </w:t>
      </w:r>
      <w:r w:rsidRPr="003E3A26">
        <w:rPr>
          <w:rFonts w:ascii="Times New Roman" w:hAnsi="Times New Roman" w:cs="Times New Roman"/>
        </w:rPr>
        <w:t>osnovnih škola nad kojima osnivačka prava ima Koprivničko-križevačka županija</w:t>
      </w:r>
      <w:r w:rsidR="00691D71">
        <w:rPr>
          <w:rFonts w:ascii="Times New Roman" w:hAnsi="Times New Roman" w:cs="Times New Roman"/>
        </w:rPr>
        <w:t xml:space="preserve"> </w:t>
      </w:r>
      <w:r w:rsidRPr="003E3A26">
        <w:rPr>
          <w:rFonts w:ascii="Times New Roman" w:hAnsi="Times New Roman" w:cs="Times New Roman"/>
        </w:rPr>
        <w:t>utvrđ</w:t>
      </w:r>
      <w:r>
        <w:rPr>
          <w:rFonts w:ascii="Times New Roman" w:hAnsi="Times New Roman" w:cs="Times New Roman"/>
        </w:rPr>
        <w:t>en</w:t>
      </w:r>
      <w:r w:rsidRPr="003E3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Pr="003E3A26">
        <w:rPr>
          <w:rFonts w:ascii="Times New Roman" w:hAnsi="Times New Roman" w:cs="Times New Roman"/>
        </w:rPr>
        <w:t xml:space="preserve"> način financiranja materijalnih i financijskih</w:t>
      </w:r>
      <w:r>
        <w:rPr>
          <w:rFonts w:ascii="Times New Roman" w:hAnsi="Times New Roman" w:cs="Times New Roman"/>
        </w:rPr>
        <w:t xml:space="preserve"> </w:t>
      </w:r>
      <w:r w:rsidRPr="003E3A26">
        <w:rPr>
          <w:rFonts w:ascii="Times New Roman" w:hAnsi="Times New Roman" w:cs="Times New Roman"/>
        </w:rPr>
        <w:t>rashoda osnovnih škola u 202</w:t>
      </w:r>
      <w:r w:rsidR="00691D71">
        <w:rPr>
          <w:rFonts w:ascii="Times New Roman" w:hAnsi="Times New Roman" w:cs="Times New Roman"/>
        </w:rPr>
        <w:t>5</w:t>
      </w:r>
      <w:r w:rsidRPr="003E3A26">
        <w:rPr>
          <w:rFonts w:ascii="Times New Roman" w:hAnsi="Times New Roman" w:cs="Times New Roman"/>
        </w:rPr>
        <w:t>. godini, način financiranja rashoda za materijal, dijelove i</w:t>
      </w:r>
      <w:r>
        <w:rPr>
          <w:rFonts w:ascii="Times New Roman" w:hAnsi="Times New Roman" w:cs="Times New Roman"/>
        </w:rPr>
        <w:t xml:space="preserve"> </w:t>
      </w:r>
      <w:r w:rsidRPr="003E3A26">
        <w:rPr>
          <w:rFonts w:ascii="Times New Roman" w:hAnsi="Times New Roman" w:cs="Times New Roman"/>
        </w:rPr>
        <w:t>usluge tekućeg i investicijskog održavanja te rashod</w:t>
      </w:r>
      <w:r>
        <w:rPr>
          <w:rFonts w:ascii="Times New Roman" w:hAnsi="Times New Roman" w:cs="Times New Roman"/>
        </w:rPr>
        <w:t>a</w:t>
      </w:r>
      <w:r w:rsidRPr="003E3A26">
        <w:rPr>
          <w:rFonts w:ascii="Times New Roman" w:hAnsi="Times New Roman" w:cs="Times New Roman"/>
        </w:rPr>
        <w:t xml:space="preserve"> za nabavu proizvedene dugotrajne</w:t>
      </w:r>
      <w:r>
        <w:rPr>
          <w:rFonts w:ascii="Times New Roman" w:hAnsi="Times New Roman" w:cs="Times New Roman"/>
        </w:rPr>
        <w:t xml:space="preserve"> </w:t>
      </w:r>
      <w:r w:rsidRPr="003E3A26">
        <w:rPr>
          <w:rFonts w:ascii="Times New Roman" w:hAnsi="Times New Roman" w:cs="Times New Roman"/>
        </w:rPr>
        <w:t>imovine i dodatna ulaganja na nefinancijskoj imovini škola</w:t>
      </w:r>
      <w:r w:rsidR="00D6339C">
        <w:rPr>
          <w:rFonts w:ascii="Times New Roman" w:hAnsi="Times New Roman" w:cs="Times New Roman"/>
        </w:rPr>
        <w:t>.</w:t>
      </w:r>
    </w:p>
    <w:p w:rsidR="005C6289" w:rsidRDefault="00D6339C" w:rsidP="00691D71">
      <w:pPr>
        <w:pStyle w:val="Odlomakpopisa"/>
        <w:jc w:val="both"/>
        <w:rPr>
          <w:rFonts w:ascii="Times New Roman" w:hAnsi="Times New Roman" w:cs="Times New Roman"/>
        </w:rPr>
      </w:pPr>
      <w:r w:rsidRPr="00691D71">
        <w:rPr>
          <w:rFonts w:ascii="Times New Roman" w:hAnsi="Times New Roman" w:cs="Times New Roman"/>
        </w:rPr>
        <w:t xml:space="preserve">Iznajmljivanjem prostora škole i sportske dvorane, te prodajom starog papira škola ostvaruje </w:t>
      </w:r>
      <w:r w:rsidR="003010D5" w:rsidRPr="00691D71">
        <w:rPr>
          <w:rFonts w:ascii="Times New Roman" w:hAnsi="Times New Roman" w:cs="Times New Roman"/>
        </w:rPr>
        <w:t>VLASTITE PRIHODE</w:t>
      </w:r>
      <w:r w:rsidRPr="00691D71">
        <w:rPr>
          <w:rFonts w:ascii="Times New Roman" w:hAnsi="Times New Roman" w:cs="Times New Roman"/>
        </w:rPr>
        <w:t xml:space="preserve"> kojima</w:t>
      </w:r>
      <w:r w:rsidR="005C6289">
        <w:rPr>
          <w:rFonts w:ascii="Times New Roman" w:hAnsi="Times New Roman" w:cs="Times New Roman"/>
        </w:rPr>
        <w:t xml:space="preserve"> su</w:t>
      </w:r>
      <w:r w:rsidRPr="00691D71">
        <w:rPr>
          <w:rFonts w:ascii="Times New Roman" w:hAnsi="Times New Roman" w:cs="Times New Roman"/>
        </w:rPr>
        <w:t xml:space="preserve"> financira</w:t>
      </w:r>
      <w:r w:rsidR="005C6289">
        <w:rPr>
          <w:rFonts w:ascii="Times New Roman" w:hAnsi="Times New Roman" w:cs="Times New Roman"/>
        </w:rPr>
        <w:t>ni</w:t>
      </w:r>
      <w:r w:rsidRPr="00691D71">
        <w:rPr>
          <w:rFonts w:ascii="Times New Roman" w:hAnsi="Times New Roman" w:cs="Times New Roman"/>
        </w:rPr>
        <w:t xml:space="preserve"> materijaln</w:t>
      </w:r>
      <w:r w:rsidR="005C6289">
        <w:rPr>
          <w:rFonts w:ascii="Times New Roman" w:hAnsi="Times New Roman" w:cs="Times New Roman"/>
        </w:rPr>
        <w:t>i</w:t>
      </w:r>
      <w:r w:rsidRPr="00691D71">
        <w:rPr>
          <w:rFonts w:ascii="Times New Roman" w:hAnsi="Times New Roman" w:cs="Times New Roman"/>
        </w:rPr>
        <w:t xml:space="preserve"> rashod</w:t>
      </w:r>
      <w:r w:rsidR="005C6289">
        <w:rPr>
          <w:rFonts w:ascii="Times New Roman" w:hAnsi="Times New Roman" w:cs="Times New Roman"/>
        </w:rPr>
        <w:t>i</w:t>
      </w:r>
      <w:r w:rsidRPr="00691D71">
        <w:rPr>
          <w:rFonts w:ascii="Times New Roman" w:hAnsi="Times New Roman" w:cs="Times New Roman"/>
        </w:rPr>
        <w:t xml:space="preserve"> jer decentralizirana sredstva nisu dostatna.</w:t>
      </w:r>
      <w:r w:rsidR="00927093" w:rsidRPr="00691D71">
        <w:rPr>
          <w:rFonts w:ascii="Times New Roman" w:hAnsi="Times New Roman" w:cs="Times New Roman"/>
        </w:rPr>
        <w:t xml:space="preserve"> </w:t>
      </w:r>
    </w:p>
    <w:p w:rsidR="005C6289" w:rsidRDefault="00927093" w:rsidP="00691D71">
      <w:pPr>
        <w:pStyle w:val="Odlomakpopisa"/>
        <w:jc w:val="both"/>
        <w:rPr>
          <w:rFonts w:ascii="Times New Roman" w:hAnsi="Times New Roman" w:cs="Times New Roman"/>
        </w:rPr>
      </w:pPr>
      <w:r w:rsidRPr="00691D71">
        <w:rPr>
          <w:rFonts w:ascii="Times New Roman" w:hAnsi="Times New Roman" w:cs="Times New Roman"/>
        </w:rPr>
        <w:t xml:space="preserve">Preko izvora financiranja </w:t>
      </w:r>
      <w:r w:rsidR="005C6289">
        <w:rPr>
          <w:rFonts w:ascii="Times New Roman" w:hAnsi="Times New Roman" w:cs="Times New Roman"/>
        </w:rPr>
        <w:t>45</w:t>
      </w:r>
      <w:r w:rsidR="003010D5" w:rsidRPr="00691D71">
        <w:rPr>
          <w:rFonts w:ascii="Times New Roman" w:hAnsi="Times New Roman" w:cs="Times New Roman"/>
        </w:rPr>
        <w:t xml:space="preserve"> – </w:t>
      </w:r>
      <w:r w:rsidR="005C6289">
        <w:rPr>
          <w:rFonts w:ascii="Times New Roman" w:hAnsi="Times New Roman" w:cs="Times New Roman"/>
        </w:rPr>
        <w:t>OSTALI NESPOMENUTI PRIHODI – PRORAČUNSKI KORISNICI</w:t>
      </w:r>
      <w:r w:rsidRPr="00691D71">
        <w:rPr>
          <w:rFonts w:ascii="Times New Roman" w:hAnsi="Times New Roman" w:cs="Times New Roman"/>
        </w:rPr>
        <w:t xml:space="preserve"> evidentirano je provođenje aktivnosti utvrđenih školskim kurikulumom OŠ Sveti Petar Orehovec, a koje se odnose na terenske nastave, posjete i edukacije izvan škole</w:t>
      </w:r>
      <w:r w:rsidR="00A97373" w:rsidRPr="00691D71">
        <w:rPr>
          <w:rFonts w:ascii="Times New Roman" w:hAnsi="Times New Roman" w:cs="Times New Roman"/>
        </w:rPr>
        <w:t>,</w:t>
      </w:r>
      <w:r w:rsidRPr="00691D71">
        <w:rPr>
          <w:rFonts w:ascii="Times New Roman" w:hAnsi="Times New Roman" w:cs="Times New Roman"/>
        </w:rPr>
        <w:t xml:space="preserve"> školu pliv</w:t>
      </w:r>
      <w:r w:rsidR="00A97373" w:rsidRPr="00691D71">
        <w:rPr>
          <w:rFonts w:ascii="Times New Roman" w:hAnsi="Times New Roman" w:cs="Times New Roman"/>
        </w:rPr>
        <w:t>a</w:t>
      </w:r>
      <w:r w:rsidRPr="00691D71">
        <w:rPr>
          <w:rFonts w:ascii="Times New Roman" w:hAnsi="Times New Roman" w:cs="Times New Roman"/>
        </w:rPr>
        <w:t xml:space="preserve">nja, te osiguranje učenika koje financiraju roditelji </w:t>
      </w:r>
      <w:r w:rsidR="00A97373" w:rsidRPr="00691D71">
        <w:rPr>
          <w:rFonts w:ascii="Times New Roman" w:hAnsi="Times New Roman" w:cs="Times New Roman"/>
        </w:rPr>
        <w:t xml:space="preserve"> što je omogućilo učenicima stjecanje potrebnih znanja koja nisu utvrđena kao obvezni standard u državnom obrazovnom sustavu, ali su potrebni i obavezni.</w:t>
      </w:r>
      <w:r w:rsidR="003010D5" w:rsidRPr="00691D71">
        <w:rPr>
          <w:rFonts w:ascii="Times New Roman" w:hAnsi="Times New Roman" w:cs="Times New Roman"/>
        </w:rPr>
        <w:t xml:space="preserve"> </w:t>
      </w:r>
    </w:p>
    <w:p w:rsidR="007D435D" w:rsidRPr="00691D71" w:rsidRDefault="003010D5" w:rsidP="00691D71">
      <w:pPr>
        <w:pStyle w:val="Odlomakpopisa"/>
        <w:jc w:val="both"/>
        <w:rPr>
          <w:rFonts w:ascii="Times New Roman" w:hAnsi="Times New Roman" w:cs="Times New Roman"/>
        </w:rPr>
      </w:pPr>
      <w:r w:rsidRPr="00691D71">
        <w:rPr>
          <w:rFonts w:ascii="Times New Roman" w:hAnsi="Times New Roman" w:cs="Times New Roman"/>
        </w:rPr>
        <w:t xml:space="preserve">Iz izvora financiranja </w:t>
      </w:r>
      <w:r w:rsidR="005C6289">
        <w:rPr>
          <w:rFonts w:ascii="Times New Roman" w:hAnsi="Times New Roman" w:cs="Times New Roman"/>
        </w:rPr>
        <w:t>5</w:t>
      </w:r>
      <w:r w:rsidRPr="00691D71">
        <w:rPr>
          <w:rFonts w:ascii="Times New Roman" w:hAnsi="Times New Roman" w:cs="Times New Roman"/>
        </w:rPr>
        <w:t>5 – POMOĆI</w:t>
      </w:r>
      <w:r w:rsidR="005C6289">
        <w:rPr>
          <w:rFonts w:ascii="Times New Roman" w:hAnsi="Times New Roman" w:cs="Times New Roman"/>
        </w:rPr>
        <w:t xml:space="preserve"> u razdoblju od 4. do 6. mjeseca 2025. godine financirana je plaća pomoćnika u nastavi za učenika u 1. razredu PŠ </w:t>
      </w:r>
      <w:proofErr w:type="spellStart"/>
      <w:r w:rsidR="005C6289">
        <w:rPr>
          <w:rFonts w:ascii="Times New Roman" w:hAnsi="Times New Roman" w:cs="Times New Roman"/>
        </w:rPr>
        <w:t>Fodrovec</w:t>
      </w:r>
      <w:proofErr w:type="spellEnd"/>
      <w:r w:rsidR="005C6289">
        <w:rPr>
          <w:rFonts w:ascii="Times New Roman" w:hAnsi="Times New Roman" w:cs="Times New Roman"/>
        </w:rPr>
        <w:t xml:space="preserve"> čije zapošljavanje je bilo nužno</w:t>
      </w:r>
      <w:r w:rsidR="00DD0232">
        <w:rPr>
          <w:rFonts w:ascii="Times New Roman" w:hAnsi="Times New Roman" w:cs="Times New Roman"/>
        </w:rPr>
        <w:t>.</w:t>
      </w:r>
      <w:r w:rsidR="006E7AD4">
        <w:rPr>
          <w:rFonts w:ascii="Times New Roman" w:hAnsi="Times New Roman" w:cs="Times New Roman"/>
        </w:rPr>
        <w:t xml:space="preserve"> </w:t>
      </w:r>
      <w:r w:rsidR="00DD0232">
        <w:rPr>
          <w:rFonts w:ascii="Times New Roman" w:hAnsi="Times New Roman" w:cs="Times New Roman"/>
        </w:rPr>
        <w:t>Iz navedenog izvora</w:t>
      </w:r>
      <w:r w:rsidR="006E7AD4">
        <w:rPr>
          <w:rFonts w:ascii="Times New Roman" w:hAnsi="Times New Roman" w:cs="Times New Roman"/>
        </w:rPr>
        <w:t xml:space="preserve"> </w:t>
      </w:r>
      <w:r w:rsidRPr="00691D71">
        <w:rPr>
          <w:rFonts w:ascii="Times New Roman" w:hAnsi="Times New Roman" w:cs="Times New Roman"/>
        </w:rPr>
        <w:t>sufinancirani</w:t>
      </w:r>
      <w:r w:rsidR="00DD0232">
        <w:rPr>
          <w:rFonts w:ascii="Times New Roman" w:hAnsi="Times New Roman" w:cs="Times New Roman"/>
        </w:rPr>
        <w:t xml:space="preserve"> su</w:t>
      </w:r>
      <w:r w:rsidRPr="00691D71">
        <w:rPr>
          <w:rFonts w:ascii="Times New Roman" w:hAnsi="Times New Roman" w:cs="Times New Roman"/>
        </w:rPr>
        <w:t xml:space="preserve"> materijalni rashodi za održavanje i režijske troškove sportske dvorane od strane Općine Sveti Petar Orehovec u iznosu od 25% stvarnih troškova, nagrade učenicima, međuopćinska natjecanja, darovi za sv. Nikolu i dr. Ministarstvo znanosti, obrazovanja i mladih </w:t>
      </w:r>
      <w:r w:rsidR="00195A65" w:rsidRPr="00691D71">
        <w:rPr>
          <w:rFonts w:ascii="Times New Roman" w:hAnsi="Times New Roman" w:cs="Times New Roman"/>
        </w:rPr>
        <w:t xml:space="preserve">iz državnog proračuna financira nabavu udžbenika i drugih obrazovnih materijala što je evidentirano kao naknade građanima i kućanstvima na temelju osiguranja i druge naknade. </w:t>
      </w:r>
      <w:r w:rsidR="00F21C2B" w:rsidRPr="00691D71">
        <w:rPr>
          <w:rFonts w:ascii="Times New Roman" w:hAnsi="Times New Roman" w:cs="Times New Roman"/>
        </w:rPr>
        <w:t>Dane t</w:t>
      </w:r>
      <w:r w:rsidR="00195A65" w:rsidRPr="00691D71">
        <w:rPr>
          <w:rFonts w:ascii="Times New Roman" w:hAnsi="Times New Roman" w:cs="Times New Roman"/>
        </w:rPr>
        <w:t>ekuće donacije u naravi odnose se na higijenske potrepštine za djevojčice škole sredstvima iz državnog proračuna koje je osiguralo Ministarstvo rada, mirovinskog sustava, obitelji i socijalne politike.</w:t>
      </w:r>
      <w:r w:rsidR="005A441F" w:rsidRPr="00691D71">
        <w:rPr>
          <w:rFonts w:ascii="Times New Roman" w:hAnsi="Times New Roman" w:cs="Times New Roman"/>
        </w:rPr>
        <w:t xml:space="preserve"> </w:t>
      </w:r>
      <w:r w:rsidR="005F76B5" w:rsidRPr="00691D71">
        <w:rPr>
          <w:rFonts w:ascii="Times New Roman" w:hAnsi="Times New Roman" w:cs="Times New Roman"/>
        </w:rPr>
        <w:t xml:space="preserve">Primljenim donacijama iz izvora </w:t>
      </w:r>
      <w:r w:rsidR="006E7AD4">
        <w:rPr>
          <w:rFonts w:ascii="Times New Roman" w:hAnsi="Times New Roman" w:cs="Times New Roman"/>
        </w:rPr>
        <w:t>63</w:t>
      </w:r>
      <w:r w:rsidR="005F76B5" w:rsidRPr="00691D71">
        <w:rPr>
          <w:rFonts w:ascii="Times New Roman" w:hAnsi="Times New Roman" w:cs="Times New Roman"/>
        </w:rPr>
        <w:t xml:space="preserve">-DONACIJE nabavljen je sitni inventar </w:t>
      </w:r>
      <w:r w:rsidR="006E7AD4">
        <w:rPr>
          <w:rFonts w:ascii="Times New Roman" w:hAnsi="Times New Roman" w:cs="Times New Roman"/>
        </w:rPr>
        <w:t>i materijal za potrebe božićne priredbe</w:t>
      </w:r>
      <w:r w:rsidR="00B9583D">
        <w:rPr>
          <w:rFonts w:ascii="Times New Roman" w:hAnsi="Times New Roman" w:cs="Times New Roman"/>
        </w:rPr>
        <w:t xml:space="preserve">, potrepštine za provođenje projekta Škole hrabrosti, </w:t>
      </w:r>
      <w:r w:rsidR="005F76B5" w:rsidRPr="00691D71">
        <w:rPr>
          <w:rFonts w:ascii="Times New Roman" w:hAnsi="Times New Roman" w:cs="Times New Roman"/>
        </w:rPr>
        <w:t xml:space="preserve">te su isplaćene dnevnice za učitelje za terensku nastavu. </w:t>
      </w:r>
    </w:p>
    <w:p w:rsidR="007D435D" w:rsidRDefault="005F76B5" w:rsidP="007D435D">
      <w:pPr>
        <w:pStyle w:val="Odlomakpopisa"/>
        <w:jc w:val="both"/>
        <w:rPr>
          <w:rFonts w:ascii="Times New Roman" w:hAnsi="Times New Roman" w:cs="Times New Roman"/>
          <w:highlight w:val="yellow"/>
        </w:rPr>
      </w:pPr>
      <w:r w:rsidRPr="007D435D">
        <w:rPr>
          <w:rFonts w:ascii="Times New Roman" w:hAnsi="Times New Roman" w:cs="Times New Roman"/>
        </w:rPr>
        <w:t>Redovnim programom kroz navedene aktivnosti o</w:t>
      </w:r>
      <w:r w:rsidR="003E3A26" w:rsidRPr="007D435D">
        <w:rPr>
          <w:rFonts w:ascii="Times New Roman" w:hAnsi="Times New Roman" w:cs="Times New Roman"/>
        </w:rPr>
        <w:t>moguć</w:t>
      </w:r>
      <w:r w:rsidRPr="007D435D">
        <w:rPr>
          <w:rFonts w:ascii="Times New Roman" w:hAnsi="Times New Roman" w:cs="Times New Roman"/>
        </w:rPr>
        <w:t xml:space="preserve">eno je </w:t>
      </w:r>
      <w:r w:rsidR="003E3A26" w:rsidRPr="007D435D">
        <w:rPr>
          <w:rFonts w:ascii="Times New Roman" w:hAnsi="Times New Roman" w:cs="Times New Roman"/>
        </w:rPr>
        <w:t xml:space="preserve">redovito, kvalitetno i uspješno </w:t>
      </w:r>
      <w:r w:rsidR="003E3A26" w:rsidRPr="007D47DA">
        <w:rPr>
          <w:rFonts w:ascii="Times New Roman" w:hAnsi="Times New Roman" w:cs="Times New Roman"/>
        </w:rPr>
        <w:t>poslovanje Škole</w:t>
      </w:r>
      <w:r w:rsidR="00D6339C" w:rsidRPr="007D47DA">
        <w:rPr>
          <w:rFonts w:ascii="Times New Roman" w:hAnsi="Times New Roman" w:cs="Times New Roman"/>
        </w:rPr>
        <w:t xml:space="preserve"> u okviru zakonskih standarda, a na korist svih učenika kao temelja postojanja škole</w:t>
      </w:r>
      <w:r w:rsidRPr="007D47DA">
        <w:rPr>
          <w:rFonts w:ascii="Times New Roman" w:hAnsi="Times New Roman" w:cs="Times New Roman"/>
        </w:rPr>
        <w:t xml:space="preserve">. </w:t>
      </w:r>
      <w:r w:rsidR="007D435D" w:rsidRPr="007D47DA">
        <w:rPr>
          <w:rFonts w:ascii="Times New Roman" w:hAnsi="Times New Roman" w:cs="Times New Roman"/>
        </w:rPr>
        <w:t xml:space="preserve">Navedena aktivnost </w:t>
      </w:r>
      <w:r w:rsidR="00AA1C32">
        <w:rPr>
          <w:rFonts w:ascii="Times New Roman" w:hAnsi="Times New Roman" w:cs="Times New Roman"/>
        </w:rPr>
        <w:t xml:space="preserve">REDOVNI RAD OŠ iz svih navedenih izvora (prihodi od poreza za redovnu djelatnost, decentralizirana sredstva, vlastiti prihodi, ostali nespomenuti prihodi, pomoći i donacije)  </w:t>
      </w:r>
      <w:r w:rsidR="007D435D" w:rsidRPr="007D47DA">
        <w:rPr>
          <w:rFonts w:ascii="Times New Roman" w:hAnsi="Times New Roman" w:cs="Times New Roman"/>
        </w:rPr>
        <w:t>čini</w:t>
      </w:r>
      <w:r w:rsidR="00AA1C32">
        <w:rPr>
          <w:rFonts w:ascii="Times New Roman" w:hAnsi="Times New Roman" w:cs="Times New Roman"/>
        </w:rPr>
        <w:t xml:space="preserve"> 137.747,33 eura, odnosno</w:t>
      </w:r>
      <w:r w:rsidR="007D435D" w:rsidRPr="007D47DA">
        <w:rPr>
          <w:rFonts w:ascii="Times New Roman" w:hAnsi="Times New Roman" w:cs="Times New Roman"/>
        </w:rPr>
        <w:t xml:space="preserve"> samo 6,</w:t>
      </w:r>
      <w:r w:rsidR="00B9583D">
        <w:rPr>
          <w:rFonts w:ascii="Times New Roman" w:hAnsi="Times New Roman" w:cs="Times New Roman"/>
        </w:rPr>
        <w:t>86</w:t>
      </w:r>
      <w:r w:rsidR="007D435D" w:rsidRPr="007D47DA">
        <w:rPr>
          <w:rFonts w:ascii="Times New Roman" w:hAnsi="Times New Roman" w:cs="Times New Roman"/>
        </w:rPr>
        <w:t>% ukupnog financijskog plana</w:t>
      </w:r>
      <w:r w:rsidR="004E3608" w:rsidRPr="007D47DA">
        <w:rPr>
          <w:rFonts w:ascii="Times New Roman" w:hAnsi="Times New Roman" w:cs="Times New Roman"/>
        </w:rPr>
        <w:t>, što znači da bi trebalo povećati sredstva da bi funkcioniranje škole bilo bolje i kvalitetnije</w:t>
      </w:r>
      <w:r w:rsidR="007D47DA" w:rsidRPr="007D47DA">
        <w:rPr>
          <w:rFonts w:ascii="Times New Roman" w:hAnsi="Times New Roman" w:cs="Times New Roman"/>
        </w:rPr>
        <w:t>.</w:t>
      </w:r>
    </w:p>
    <w:p w:rsidR="007D47DA" w:rsidRDefault="007D47DA" w:rsidP="007D435D">
      <w:pPr>
        <w:pStyle w:val="Odlomakpopisa"/>
        <w:jc w:val="both"/>
        <w:rPr>
          <w:rFonts w:ascii="Times New Roman" w:hAnsi="Times New Roman" w:cs="Times New Roman"/>
        </w:rPr>
      </w:pPr>
    </w:p>
    <w:p w:rsidR="00A85F39" w:rsidRDefault="007D435D" w:rsidP="007D435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A107004 Školska kuhinja – financira se iz dva izvora, </w:t>
      </w:r>
      <w:r w:rsidR="00B9583D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–</w:t>
      </w:r>
      <w:r w:rsidR="00DD0232">
        <w:rPr>
          <w:rFonts w:ascii="Times New Roman" w:hAnsi="Times New Roman" w:cs="Times New Roman"/>
        </w:rPr>
        <w:t xml:space="preserve"> </w:t>
      </w:r>
      <w:r w:rsidR="00B9583D">
        <w:rPr>
          <w:rFonts w:ascii="Times New Roman" w:hAnsi="Times New Roman" w:cs="Times New Roman"/>
        </w:rPr>
        <w:t xml:space="preserve">OSTALI NESPOMENUTI PRIHODI – PRORAČUNSKI KORISNICI </w:t>
      </w:r>
      <w:r>
        <w:rPr>
          <w:rFonts w:ascii="Times New Roman" w:hAnsi="Times New Roman" w:cs="Times New Roman"/>
        </w:rPr>
        <w:t>za učitelje koji se hrane u školskoj kuhinji</w:t>
      </w:r>
      <w:r w:rsidR="00B9583D">
        <w:rPr>
          <w:rFonts w:ascii="Times New Roman" w:hAnsi="Times New Roman" w:cs="Times New Roman"/>
        </w:rPr>
        <w:t xml:space="preserve"> za troškove namirnica i materijala potrebnog za pripremanje i usluživanje hrane</w:t>
      </w:r>
      <w:r>
        <w:rPr>
          <w:rFonts w:ascii="Times New Roman" w:hAnsi="Times New Roman" w:cs="Times New Roman"/>
        </w:rPr>
        <w:t xml:space="preserve"> i izvora </w:t>
      </w:r>
      <w:r w:rsidR="00B9583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5 – POMOĆI</w:t>
      </w:r>
      <w:r w:rsidR="00B9583D">
        <w:rPr>
          <w:rFonts w:ascii="Times New Roman" w:hAnsi="Times New Roman" w:cs="Times New Roman"/>
        </w:rPr>
        <w:t xml:space="preserve"> – PRORAČUNSKI KORISNICI</w:t>
      </w:r>
      <w:r>
        <w:rPr>
          <w:rFonts w:ascii="Times New Roman" w:hAnsi="Times New Roman" w:cs="Times New Roman"/>
        </w:rPr>
        <w:t xml:space="preserve"> gdje se evidentiraju namirnice za prehranu učenika u školskoj kuhinji sredstvima </w:t>
      </w:r>
      <w:r w:rsidR="00A85F39">
        <w:rPr>
          <w:rFonts w:ascii="Times New Roman" w:hAnsi="Times New Roman" w:cs="Times New Roman"/>
        </w:rPr>
        <w:t xml:space="preserve">iz </w:t>
      </w:r>
      <w:r>
        <w:rPr>
          <w:rFonts w:ascii="Times New Roman" w:hAnsi="Times New Roman" w:cs="Times New Roman"/>
        </w:rPr>
        <w:t>državnog proračuna</w:t>
      </w:r>
      <w:r w:rsidR="00A85F39">
        <w:rPr>
          <w:rFonts w:ascii="Times New Roman" w:hAnsi="Times New Roman" w:cs="Times New Roman"/>
        </w:rPr>
        <w:t xml:space="preserve"> čime je ostvaren cilj, omogućena je kvalitetna i zdrava prehrana svim učenicima u vrijeme boravka i rada u školi koja je besplatna. </w:t>
      </w:r>
      <w:r w:rsidR="00A85F39">
        <w:rPr>
          <w:rFonts w:ascii="Times New Roman" w:hAnsi="Times New Roman" w:cs="Times New Roman"/>
        </w:rPr>
        <w:lastRenderedPageBreak/>
        <w:t>Pokazatelj uspješnosti je broj učenika koji se hrani u školskoj kuhinji (</w:t>
      </w:r>
      <w:r w:rsidR="00B9583D">
        <w:rPr>
          <w:rFonts w:ascii="Times New Roman" w:hAnsi="Times New Roman" w:cs="Times New Roman"/>
        </w:rPr>
        <w:t>241</w:t>
      </w:r>
      <w:r w:rsidR="00A85F39">
        <w:rPr>
          <w:rFonts w:ascii="Times New Roman" w:hAnsi="Times New Roman" w:cs="Times New Roman"/>
        </w:rPr>
        <w:t xml:space="preserve"> učenik) u odnosu na ukupan broj učenika  (2</w:t>
      </w:r>
      <w:r w:rsidR="00B9583D">
        <w:rPr>
          <w:rFonts w:ascii="Times New Roman" w:hAnsi="Times New Roman" w:cs="Times New Roman"/>
        </w:rPr>
        <w:t>59</w:t>
      </w:r>
      <w:r w:rsidR="00A85F39">
        <w:rPr>
          <w:rFonts w:ascii="Times New Roman" w:hAnsi="Times New Roman" w:cs="Times New Roman"/>
        </w:rPr>
        <w:t xml:space="preserve"> učenika)</w:t>
      </w:r>
      <w:r w:rsidR="00B9583D">
        <w:rPr>
          <w:rFonts w:ascii="Times New Roman" w:hAnsi="Times New Roman" w:cs="Times New Roman"/>
        </w:rPr>
        <w:t xml:space="preserve"> – šk. godina 2025./2026.</w:t>
      </w:r>
    </w:p>
    <w:p w:rsidR="00A85F39" w:rsidRDefault="00A85F39" w:rsidP="00A85F39">
      <w:pPr>
        <w:jc w:val="both"/>
        <w:rPr>
          <w:rFonts w:ascii="Times New Roman" w:hAnsi="Times New Roman" w:cs="Times New Roman"/>
        </w:rPr>
      </w:pPr>
    </w:p>
    <w:p w:rsidR="007B683A" w:rsidRPr="009A0C87" w:rsidRDefault="00A85F39" w:rsidP="009A0C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K107001 Ulaganja u nefinancijsku imovinu – kapitalni projekti koji se financiraju iz nekoliko izvora. U 202</w:t>
      </w:r>
      <w:r w:rsidR="00B9583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 iz izvora 1</w:t>
      </w:r>
      <w:r w:rsidR="00B9583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B9583D">
        <w:rPr>
          <w:rFonts w:ascii="Times New Roman" w:hAnsi="Times New Roman" w:cs="Times New Roman"/>
        </w:rPr>
        <w:t xml:space="preserve">DECENTRALIZIRANA SREDSTVA </w:t>
      </w:r>
      <w:r w:rsidR="007B683A">
        <w:rPr>
          <w:rFonts w:ascii="Times New Roman" w:hAnsi="Times New Roman" w:cs="Times New Roman"/>
        </w:rPr>
        <w:t>– OSNOVNO  ŠKOLSTVO</w:t>
      </w:r>
      <w:r>
        <w:rPr>
          <w:rFonts w:ascii="Times New Roman" w:hAnsi="Times New Roman" w:cs="Times New Roman"/>
        </w:rPr>
        <w:t xml:space="preserve"> nabavljene su knjige za školsku knjižnicu, </w:t>
      </w:r>
      <w:r w:rsidR="007B683A">
        <w:rPr>
          <w:rFonts w:ascii="Times New Roman" w:hAnsi="Times New Roman" w:cs="Times New Roman"/>
        </w:rPr>
        <w:t>pametne</w:t>
      </w:r>
      <w:r>
        <w:rPr>
          <w:rFonts w:ascii="Times New Roman" w:hAnsi="Times New Roman" w:cs="Times New Roman"/>
        </w:rPr>
        <w:t xml:space="preserve"> ploče</w:t>
      </w:r>
      <w:r w:rsidR="00DD0232">
        <w:rPr>
          <w:rFonts w:ascii="Times New Roman" w:hAnsi="Times New Roman" w:cs="Times New Roman"/>
        </w:rPr>
        <w:t>,</w:t>
      </w:r>
      <w:r w:rsidR="007B683A">
        <w:rPr>
          <w:rFonts w:ascii="Times New Roman" w:hAnsi="Times New Roman" w:cs="Times New Roman"/>
        </w:rPr>
        <w:t xml:space="preserve"> uređaj za čišćenje poda, vatrogasni aparati</w:t>
      </w:r>
      <w:r>
        <w:rPr>
          <w:rFonts w:ascii="Times New Roman" w:hAnsi="Times New Roman" w:cs="Times New Roman"/>
        </w:rPr>
        <w:t xml:space="preserve">, te </w:t>
      </w:r>
      <w:r w:rsidR="007B683A">
        <w:rPr>
          <w:rFonts w:ascii="Times New Roman" w:hAnsi="Times New Roman" w:cs="Times New Roman"/>
        </w:rPr>
        <w:t>je sufinancirana nabava garderobnih ormarića za učenike MŠ.</w:t>
      </w:r>
      <w:r>
        <w:rPr>
          <w:rFonts w:ascii="Times New Roman" w:hAnsi="Times New Roman" w:cs="Times New Roman"/>
        </w:rPr>
        <w:t xml:space="preserve"> </w:t>
      </w:r>
      <w:r w:rsidR="007B683A">
        <w:rPr>
          <w:rFonts w:ascii="Times New Roman" w:hAnsi="Times New Roman" w:cs="Times New Roman"/>
        </w:rPr>
        <w:t xml:space="preserve">Iz izvora 45 – OSTALI NESPOMENUTI PRIHODI – PK sufinancirana je nabava garderobnih ormarića u iznosu od 880,00 eura koje su učenici sami prikupili raznim akcijama koje je provodio svaki razred MŠ. Iz izvora 55 – POMOĆI – PK </w:t>
      </w:r>
      <w:r w:rsidR="009A0C87">
        <w:rPr>
          <w:rFonts w:ascii="Times New Roman" w:hAnsi="Times New Roman" w:cs="Times New Roman"/>
        </w:rPr>
        <w:t>Općina Sveti Petar Orehovec</w:t>
      </w:r>
      <w:r w:rsidR="007B683A">
        <w:rPr>
          <w:rFonts w:ascii="Times New Roman" w:hAnsi="Times New Roman" w:cs="Times New Roman"/>
        </w:rPr>
        <w:t xml:space="preserve"> sufinancira</w:t>
      </w:r>
      <w:r w:rsidR="009A0C87">
        <w:rPr>
          <w:rFonts w:ascii="Times New Roman" w:hAnsi="Times New Roman" w:cs="Times New Roman"/>
        </w:rPr>
        <w:t>la je</w:t>
      </w:r>
      <w:r w:rsidR="007B683A">
        <w:rPr>
          <w:rFonts w:ascii="Times New Roman" w:hAnsi="Times New Roman" w:cs="Times New Roman"/>
        </w:rPr>
        <w:t xml:space="preserve"> nabav</w:t>
      </w:r>
      <w:r w:rsidR="009A0C87">
        <w:rPr>
          <w:rFonts w:ascii="Times New Roman" w:hAnsi="Times New Roman" w:cs="Times New Roman"/>
        </w:rPr>
        <w:t>u</w:t>
      </w:r>
      <w:r w:rsidR="007B683A">
        <w:rPr>
          <w:rFonts w:ascii="Times New Roman" w:hAnsi="Times New Roman" w:cs="Times New Roman"/>
        </w:rPr>
        <w:t xml:space="preserve"> garder</w:t>
      </w:r>
      <w:r w:rsidR="009A0C87">
        <w:rPr>
          <w:rFonts w:ascii="Times New Roman" w:hAnsi="Times New Roman" w:cs="Times New Roman"/>
        </w:rPr>
        <w:t>o</w:t>
      </w:r>
      <w:r w:rsidR="007B683A">
        <w:rPr>
          <w:rFonts w:ascii="Times New Roman" w:hAnsi="Times New Roman" w:cs="Times New Roman"/>
        </w:rPr>
        <w:t xml:space="preserve">bnih </w:t>
      </w:r>
      <w:r w:rsidR="009A0C87">
        <w:rPr>
          <w:rFonts w:ascii="Times New Roman" w:hAnsi="Times New Roman" w:cs="Times New Roman"/>
        </w:rPr>
        <w:t xml:space="preserve">ormarića u iznosu od 4.000,00 eura, a knjige u vrijednosti 1.653,23 eura financirane su iz projekta Glasno i jasno „Put do čitalačke pismenosti“, te sredstvima Ministarstva znanosti, obrazovanja i mladih. Na izvoru 63 – DONACIJE -PK evidentirana je donacija klima uređaja lokalnih poduzeća i pametne ploče preko projekta Škole hrabrosti. </w:t>
      </w:r>
    </w:p>
    <w:p w:rsidR="002B43A6" w:rsidRDefault="002B43A6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7002 – Dodatni programi osnovnog školstva odnosi se na tekući projekt </w:t>
      </w:r>
    </w:p>
    <w:p w:rsidR="002B43A6" w:rsidRDefault="002B43A6" w:rsidP="002B4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T107002 EU projekti OŠ</w:t>
      </w:r>
      <w:r w:rsidR="003167F8">
        <w:rPr>
          <w:rFonts w:ascii="Times New Roman" w:hAnsi="Times New Roman" w:cs="Times New Roman"/>
        </w:rPr>
        <w:t xml:space="preserve"> – izvor financiranja </w:t>
      </w:r>
      <w:r w:rsidR="0019669F">
        <w:rPr>
          <w:rFonts w:ascii="Times New Roman" w:hAnsi="Times New Roman" w:cs="Times New Roman"/>
        </w:rPr>
        <w:t>58 – SREDSTVA EU – PRORAČUNSKI KORISNICI</w:t>
      </w:r>
      <w:r>
        <w:rPr>
          <w:rFonts w:ascii="Times New Roman" w:hAnsi="Times New Roman" w:cs="Times New Roman"/>
        </w:rPr>
        <w:t xml:space="preserve"> </w:t>
      </w:r>
      <w:r w:rsidR="0019669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odnosi se na rashode za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 projekte prema ugovorima</w:t>
      </w:r>
      <w:r w:rsidR="00902E56">
        <w:rPr>
          <w:rFonts w:ascii="Times New Roman" w:hAnsi="Times New Roman" w:cs="Times New Roman"/>
        </w:rPr>
        <w:t xml:space="preserve"> kojima se financiraju aktivnosti  mobilnosti u svrhu obrazovanja i stručnog usavršavanja za pokriće prijevoznih i životnih troškova i realizaciju projektnih aktivnosti čime je učenicima i nastavnom osoblju pružena prilika za stjecanje vještina i osobnog, društveno-obrazovnog i profesionalnog razvoja</w:t>
      </w:r>
      <w:r w:rsidR="009A0C87">
        <w:rPr>
          <w:rFonts w:ascii="Times New Roman" w:hAnsi="Times New Roman" w:cs="Times New Roman"/>
        </w:rPr>
        <w:t>, te</w:t>
      </w:r>
      <w:r w:rsidR="00902E56">
        <w:rPr>
          <w:rFonts w:ascii="Times New Roman" w:hAnsi="Times New Roman" w:cs="Times New Roman"/>
        </w:rPr>
        <w:t xml:space="preserve"> učenje jezika. </w:t>
      </w:r>
      <w:r w:rsidR="0019669F">
        <w:rPr>
          <w:rFonts w:ascii="Times New Roman" w:hAnsi="Times New Roman" w:cs="Times New Roman"/>
        </w:rPr>
        <w:t xml:space="preserve">U 2025. godini provođeni su projekti pod nazivima Brza moda koji je završen u 6. mjesecu 2025. godine i Zero Waste koji se provodi od </w:t>
      </w:r>
      <w:r w:rsidR="00DD0232">
        <w:rPr>
          <w:rFonts w:ascii="Times New Roman" w:hAnsi="Times New Roman" w:cs="Times New Roman"/>
        </w:rPr>
        <w:t>6</w:t>
      </w:r>
      <w:r w:rsidR="0019669F">
        <w:rPr>
          <w:rFonts w:ascii="Times New Roman" w:hAnsi="Times New Roman" w:cs="Times New Roman"/>
        </w:rPr>
        <w:t xml:space="preserve">. mjeseca 2025. do 31.08.2026. godine. </w:t>
      </w:r>
    </w:p>
    <w:p w:rsidR="0019669F" w:rsidRDefault="00533208" w:rsidP="00074C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GLAVA 00708 UPRAVNI ODJEL ZA OBRAZOVANJE, </w:t>
      </w:r>
      <w:r w:rsidR="0019669F">
        <w:rPr>
          <w:rFonts w:ascii="Times New Roman" w:hAnsi="Times New Roman" w:cs="Times New Roman"/>
        </w:rPr>
        <w:t xml:space="preserve">ZDRAVSTVO, SOCIJALNU SKRB I HRVATSKE BRANITELJE </w:t>
      </w:r>
    </w:p>
    <w:p w:rsidR="00074C46" w:rsidRDefault="00074C46" w:rsidP="00074C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7005 – Program upravnog odjela </w:t>
      </w:r>
      <w:r w:rsidR="00533208">
        <w:rPr>
          <w:rFonts w:ascii="Times New Roman" w:hAnsi="Times New Roman" w:cs="Times New Roman"/>
        </w:rPr>
        <w:t xml:space="preserve">odnosi se na </w:t>
      </w:r>
      <w:r w:rsidR="00397A62">
        <w:rPr>
          <w:rFonts w:ascii="Times New Roman" w:hAnsi="Times New Roman" w:cs="Times New Roman"/>
        </w:rPr>
        <w:t xml:space="preserve">aktivnost i </w:t>
      </w:r>
      <w:r w:rsidR="00533208">
        <w:rPr>
          <w:rFonts w:ascii="Times New Roman" w:hAnsi="Times New Roman" w:cs="Times New Roman"/>
        </w:rPr>
        <w:t>tekuće projekte:</w:t>
      </w:r>
    </w:p>
    <w:p w:rsidR="00397A62" w:rsidRDefault="00397A62" w:rsidP="00397A6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A107011 – Natjecanja – osnovne i srednje škole – u 2025. godini u našoj školi organizirano je Županijsko natjecanje Sigurno u prometu za koje su troškovi prehrane, prijevoza i povjerenstva financirani iz izvora 11 PRIHODI OD POREZA ZA REDOVNU DJELATNOST.</w:t>
      </w:r>
    </w:p>
    <w:p w:rsidR="00533208" w:rsidRDefault="00533208" w:rsidP="00397A6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T1070</w:t>
      </w:r>
      <w:r w:rsidR="00397A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Prilika za sve </w:t>
      </w:r>
      <w:r w:rsidR="00397A6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iz kojeg je financiran</w:t>
      </w:r>
      <w:r w:rsidR="00397A62">
        <w:rPr>
          <w:rFonts w:ascii="Times New Roman" w:hAnsi="Times New Roman" w:cs="Times New Roman"/>
        </w:rPr>
        <w:t>a plaća pomoćnica u nastavi</w:t>
      </w:r>
      <w:r w:rsidR="00733279">
        <w:rPr>
          <w:rFonts w:ascii="Times New Roman" w:hAnsi="Times New Roman" w:cs="Times New Roman"/>
        </w:rPr>
        <w:t xml:space="preserve">, jednog učenika u 8. razredu i 1 učenika u 1. razredu u PŠ </w:t>
      </w:r>
      <w:proofErr w:type="spellStart"/>
      <w:r w:rsidR="00733279">
        <w:rPr>
          <w:rFonts w:ascii="Times New Roman" w:hAnsi="Times New Roman" w:cs="Times New Roman"/>
        </w:rPr>
        <w:t>Fodrovec</w:t>
      </w:r>
      <w:proofErr w:type="spellEnd"/>
      <w:r w:rsidR="00733279">
        <w:rPr>
          <w:rFonts w:ascii="Times New Roman" w:hAnsi="Times New Roman" w:cs="Times New Roman"/>
        </w:rPr>
        <w:t>, za kojeg je o</w:t>
      </w:r>
      <w:r w:rsidR="00397A62">
        <w:rPr>
          <w:rFonts w:ascii="Times New Roman" w:hAnsi="Times New Roman" w:cs="Times New Roman"/>
        </w:rPr>
        <w:t>d rujna 2025. godine zaposlena još jedna pomoćnica u nastavi preko projekta, pa su povećani troškovi. Iako se provodio novi natječaj, naziv projekta za šk. godinu 2025./2026. je ostao isti</w:t>
      </w:r>
      <w:r w:rsidR="00733279">
        <w:rPr>
          <w:rFonts w:ascii="Times New Roman" w:hAnsi="Times New Roman" w:cs="Times New Roman"/>
        </w:rPr>
        <w:t xml:space="preserve">, </w:t>
      </w:r>
      <w:r w:rsidR="00397A62">
        <w:rPr>
          <w:rFonts w:ascii="Times New Roman" w:hAnsi="Times New Roman" w:cs="Times New Roman"/>
        </w:rPr>
        <w:t xml:space="preserve"> pa je ostvarenje troškova veće od planiranih.  </w:t>
      </w:r>
      <w:r>
        <w:rPr>
          <w:rFonts w:ascii="Times New Roman" w:hAnsi="Times New Roman" w:cs="Times New Roman"/>
        </w:rPr>
        <w:t xml:space="preserve"> Projekt se financira iz dva izvora</w:t>
      </w:r>
      <w:r w:rsidR="00733279">
        <w:rPr>
          <w:rFonts w:ascii="Times New Roman" w:hAnsi="Times New Roman" w:cs="Times New Roman"/>
        </w:rPr>
        <w:t>. U šk. godini 2024./2025. omjer financiranja je bio 70% EU projekt – 30% Koprivničko-križevačka županija, a od šk. godine 2025./2026. omjer financiranja je 50% EU projekt - 50%</w:t>
      </w:r>
      <w:r>
        <w:rPr>
          <w:rFonts w:ascii="Times New Roman" w:hAnsi="Times New Roman" w:cs="Times New Roman"/>
        </w:rPr>
        <w:t xml:space="preserve"> </w:t>
      </w:r>
      <w:r w:rsidR="00733279">
        <w:rPr>
          <w:rFonts w:ascii="Times New Roman" w:hAnsi="Times New Roman" w:cs="Times New Roman"/>
        </w:rPr>
        <w:t xml:space="preserve">Koprivničko-križevačka županija. Izvori su: </w:t>
      </w:r>
      <w:r>
        <w:rPr>
          <w:rFonts w:ascii="Times New Roman" w:hAnsi="Times New Roman" w:cs="Times New Roman"/>
        </w:rPr>
        <w:t xml:space="preserve">01 -  </w:t>
      </w:r>
      <w:r w:rsidRPr="00533208">
        <w:rPr>
          <w:rFonts w:ascii="Times New Roman" w:hAnsi="Times New Roman" w:cs="Times New Roman"/>
        </w:rPr>
        <w:t>OPĆI PRIHODI I PRIMICI</w:t>
      </w:r>
      <w:r w:rsidR="007332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dok se ostatak financira iz izvora </w:t>
      </w:r>
      <w:r w:rsidR="00733279">
        <w:rPr>
          <w:rFonts w:ascii="Times New Roman" w:hAnsi="Times New Roman" w:cs="Times New Roman"/>
        </w:rPr>
        <w:t>56</w:t>
      </w:r>
      <w:r w:rsidRPr="00533208">
        <w:rPr>
          <w:rFonts w:ascii="Times New Roman" w:hAnsi="Times New Roman" w:cs="Times New Roman"/>
        </w:rPr>
        <w:t xml:space="preserve"> – POMOĆI</w:t>
      </w:r>
      <w:r w:rsidR="00733279">
        <w:rPr>
          <w:rFonts w:ascii="Times New Roman" w:hAnsi="Times New Roman" w:cs="Times New Roman"/>
        </w:rPr>
        <w:t xml:space="preserve"> IZ PRORAČUNA – EU ŽUPANIJA</w:t>
      </w:r>
      <w:r w:rsidR="0087065C">
        <w:rPr>
          <w:rFonts w:ascii="Times New Roman" w:hAnsi="Times New Roman" w:cs="Times New Roman"/>
        </w:rPr>
        <w:t xml:space="preserve">. </w:t>
      </w:r>
      <w:r w:rsidR="00CD4F3A">
        <w:rPr>
          <w:rFonts w:ascii="Times New Roman" w:hAnsi="Times New Roman" w:cs="Times New Roman"/>
        </w:rPr>
        <w:t>Navedenim projektom učeni</w:t>
      </w:r>
      <w:r w:rsidR="00733279">
        <w:rPr>
          <w:rFonts w:ascii="Times New Roman" w:hAnsi="Times New Roman" w:cs="Times New Roman"/>
        </w:rPr>
        <w:t>cima</w:t>
      </w:r>
      <w:r w:rsidR="00CD4F3A">
        <w:rPr>
          <w:rFonts w:ascii="Times New Roman" w:hAnsi="Times New Roman" w:cs="Times New Roman"/>
        </w:rPr>
        <w:t xml:space="preserve"> je omogućena pomoć u radu te polaz</w:t>
      </w:r>
      <w:r w:rsidR="00733279">
        <w:rPr>
          <w:rFonts w:ascii="Times New Roman" w:hAnsi="Times New Roman" w:cs="Times New Roman"/>
        </w:rPr>
        <w:t>e</w:t>
      </w:r>
      <w:r w:rsidR="00CD4F3A">
        <w:rPr>
          <w:rFonts w:ascii="Times New Roman" w:hAnsi="Times New Roman" w:cs="Times New Roman"/>
        </w:rPr>
        <w:t xml:space="preserve"> nastavu u redovnom razrednom odjelu i postiž</w:t>
      </w:r>
      <w:r w:rsidR="00733279">
        <w:rPr>
          <w:rFonts w:ascii="Times New Roman" w:hAnsi="Times New Roman" w:cs="Times New Roman"/>
        </w:rPr>
        <w:t>u</w:t>
      </w:r>
      <w:r w:rsidR="00CD4F3A">
        <w:rPr>
          <w:rFonts w:ascii="Times New Roman" w:hAnsi="Times New Roman" w:cs="Times New Roman"/>
        </w:rPr>
        <w:t xml:space="preserve"> optimalne rezultate s obzirom na vlastite mogućnosti. </w:t>
      </w:r>
    </w:p>
    <w:p w:rsidR="00CD4F3A" w:rsidRDefault="00CD4F3A" w:rsidP="0053320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T1070</w:t>
      </w:r>
      <w:r w:rsidR="007332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 Školska shema 202</w:t>
      </w:r>
      <w:r w:rsidR="00C97DD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C97D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T10702</w:t>
      </w:r>
      <w:r w:rsidR="00C97DD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Školska shema 202</w:t>
      </w:r>
      <w:r w:rsidR="00C97D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C97DD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projekti financirani iz izvora </w:t>
      </w:r>
      <w:r w:rsidR="00C97DD2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 xml:space="preserve"> – POMOĆI</w:t>
      </w:r>
      <w:r w:rsidR="00C97DD2">
        <w:rPr>
          <w:rFonts w:ascii="Times New Roman" w:hAnsi="Times New Roman" w:cs="Times New Roman"/>
        </w:rPr>
        <w:t xml:space="preserve"> IZ PRORAČUNA – EU ŽUPANIJA </w:t>
      </w:r>
      <w:r>
        <w:rPr>
          <w:rFonts w:ascii="Times New Roman" w:hAnsi="Times New Roman" w:cs="Times New Roman"/>
        </w:rPr>
        <w:t>za troškove namirnica odnosno svježeg voća</w:t>
      </w:r>
      <w:r w:rsidR="00C97DD2">
        <w:rPr>
          <w:rFonts w:ascii="Times New Roman" w:hAnsi="Times New Roman" w:cs="Times New Roman"/>
        </w:rPr>
        <w:t>, voćnog soka</w:t>
      </w:r>
      <w:r>
        <w:rPr>
          <w:rFonts w:ascii="Times New Roman" w:hAnsi="Times New Roman" w:cs="Times New Roman"/>
        </w:rPr>
        <w:t xml:space="preserve"> i mlijeka/jogurta za sve učenike matične škole i područnih škola. Uz obrok u školskoj kuhinji, učenicima se besplatno poslužuje svježe mlijeko ili jogurt i voće </w:t>
      </w:r>
      <w:r w:rsidR="00D753CA">
        <w:rPr>
          <w:rFonts w:ascii="Times New Roman" w:hAnsi="Times New Roman" w:cs="Times New Roman"/>
        </w:rPr>
        <w:t>zbog uravnotežene prehrane i dobrih prehrambenih navika</w:t>
      </w:r>
      <w:r w:rsidR="004E3608">
        <w:rPr>
          <w:rFonts w:ascii="Times New Roman" w:hAnsi="Times New Roman" w:cs="Times New Roman"/>
        </w:rPr>
        <w:t xml:space="preserve">, pa tako djeca češće jedu voće i konzumiraju mlijeko. </w:t>
      </w:r>
    </w:p>
    <w:p w:rsidR="002B43A6" w:rsidRDefault="004E3608" w:rsidP="007D47DA">
      <w:pPr>
        <w:jc w:val="center"/>
        <w:rPr>
          <w:rFonts w:ascii="Times New Roman" w:hAnsi="Times New Roman" w:cs="Times New Roman"/>
          <w:b/>
        </w:rPr>
      </w:pPr>
      <w:r w:rsidRPr="004E3608">
        <w:rPr>
          <w:rFonts w:ascii="Times New Roman" w:hAnsi="Times New Roman" w:cs="Times New Roman"/>
          <w:b/>
        </w:rPr>
        <w:lastRenderedPageBreak/>
        <w:t>4. POSEBNI IZVJEŠTAJI U GODIŠNJEM IZVJEŠTAJU O IZVRŠENJU FINANCIJSKOG PLANA OSNOVNE ŠKOLE SVETI PETAR OREHOVEC</w:t>
      </w:r>
      <w:r w:rsidR="00C97DD2">
        <w:rPr>
          <w:rFonts w:ascii="Times New Roman" w:hAnsi="Times New Roman" w:cs="Times New Roman"/>
          <w:b/>
        </w:rPr>
        <w:t xml:space="preserve"> za 2025. godinu</w:t>
      </w:r>
    </w:p>
    <w:p w:rsidR="004E3608" w:rsidRDefault="004E3608" w:rsidP="007D47DA">
      <w:pPr>
        <w:jc w:val="center"/>
        <w:rPr>
          <w:rFonts w:ascii="Times New Roman" w:hAnsi="Times New Roman" w:cs="Times New Roman"/>
          <w:b/>
        </w:rPr>
      </w:pPr>
    </w:p>
    <w:p w:rsidR="004E3608" w:rsidRDefault="004E3608" w:rsidP="002B43A6">
      <w:pPr>
        <w:jc w:val="both"/>
        <w:rPr>
          <w:rFonts w:ascii="Times New Roman" w:hAnsi="Times New Roman" w:cs="Times New Roman"/>
        </w:rPr>
      </w:pPr>
      <w:r w:rsidRPr="004E3608"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 xml:space="preserve">Izvještaj o zaduživanju na domaćem i stranom tržištu novca i kapitala </w:t>
      </w:r>
    </w:p>
    <w:p w:rsidR="004E3608" w:rsidRDefault="004E3608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Sveti Petar Orehovec se nije zaduživala u 202</w:t>
      </w:r>
      <w:r w:rsidR="00C97D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godini. </w:t>
      </w:r>
    </w:p>
    <w:p w:rsidR="004E3608" w:rsidRDefault="004E3608" w:rsidP="002B43A6">
      <w:pPr>
        <w:jc w:val="both"/>
        <w:rPr>
          <w:rFonts w:ascii="Times New Roman" w:hAnsi="Times New Roman" w:cs="Times New Roman"/>
        </w:rPr>
      </w:pPr>
    </w:p>
    <w:p w:rsidR="004E3608" w:rsidRDefault="004E3608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Izvještaj o korištenju sredstava fondova Europske unije</w:t>
      </w:r>
    </w:p>
    <w:p w:rsidR="00470588" w:rsidRDefault="00470588" w:rsidP="002B43A6">
      <w:pPr>
        <w:jc w:val="both"/>
        <w:rPr>
          <w:rFonts w:ascii="Times New Roman" w:hAnsi="Times New Roman" w:cs="Times New Roman"/>
        </w:rPr>
      </w:pPr>
    </w:p>
    <w:p w:rsidR="004D0856" w:rsidRDefault="00211A91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Osnovna škola Sveti Petar Orehovec od 2019. godine sklapa ugovore o dodjeli sredstava sa Agencijom za mobilnost i programe Europske unije za sudjelovanje u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 programima. U 202</w:t>
      </w:r>
      <w:r w:rsidR="004D08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 primljena su sredstva</w:t>
      </w:r>
      <w:r w:rsidR="004D0856">
        <w:rPr>
          <w:rFonts w:ascii="Times New Roman" w:hAnsi="Times New Roman" w:cs="Times New Roman"/>
        </w:rPr>
        <w:t xml:space="preserve"> prema ocjeni završnog izvješća 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+ projekt „Brza ili održiva moda“ u iznosu od </w:t>
      </w:r>
      <w:r w:rsidR="004D0856">
        <w:rPr>
          <w:rFonts w:ascii="Times New Roman" w:hAnsi="Times New Roman" w:cs="Times New Roman"/>
        </w:rPr>
        <w:t xml:space="preserve">5.642,20 </w:t>
      </w:r>
      <w:r>
        <w:rPr>
          <w:rFonts w:ascii="Times New Roman" w:hAnsi="Times New Roman" w:cs="Times New Roman"/>
        </w:rPr>
        <w:t>eura (</w:t>
      </w:r>
      <w:r w:rsidR="004D0856">
        <w:rPr>
          <w:rFonts w:ascii="Times New Roman" w:hAnsi="Times New Roman" w:cs="Times New Roman"/>
        </w:rPr>
        <w:t>preostalih 20</w:t>
      </w:r>
      <w:r>
        <w:rPr>
          <w:rFonts w:ascii="Times New Roman" w:hAnsi="Times New Roman" w:cs="Times New Roman"/>
        </w:rPr>
        <w:t xml:space="preserve">% </w:t>
      </w:r>
      <w:r w:rsidR="004D0856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ukupnog iznosa prema ugovoru). </w:t>
      </w:r>
    </w:p>
    <w:p w:rsidR="001F3433" w:rsidRDefault="007422A5" w:rsidP="002B43A6">
      <w:pPr>
        <w:jc w:val="both"/>
        <w:rPr>
          <w:rFonts w:ascii="Times New Roman" w:hAnsi="Times New Roman" w:cs="Times New Roman"/>
        </w:rPr>
      </w:pPr>
      <w:r w:rsidRPr="007D47DA">
        <w:rPr>
          <w:rFonts w:ascii="Times New Roman" w:hAnsi="Times New Roman" w:cs="Times New Roman"/>
        </w:rPr>
        <w:t>U 202</w:t>
      </w:r>
      <w:r w:rsidR="004D0856">
        <w:rPr>
          <w:rFonts w:ascii="Times New Roman" w:hAnsi="Times New Roman" w:cs="Times New Roman"/>
        </w:rPr>
        <w:t>5</w:t>
      </w:r>
      <w:r w:rsidRPr="007D47DA">
        <w:rPr>
          <w:rFonts w:ascii="Times New Roman" w:hAnsi="Times New Roman" w:cs="Times New Roman"/>
        </w:rPr>
        <w:t xml:space="preserve">. godini je za </w:t>
      </w:r>
      <w:proofErr w:type="spellStart"/>
      <w:r w:rsidRPr="007D47DA">
        <w:rPr>
          <w:rFonts w:ascii="Times New Roman" w:hAnsi="Times New Roman" w:cs="Times New Roman"/>
        </w:rPr>
        <w:t>Erasmus</w:t>
      </w:r>
      <w:proofErr w:type="spellEnd"/>
      <w:r w:rsidRPr="007D47DA">
        <w:rPr>
          <w:rFonts w:ascii="Times New Roman" w:hAnsi="Times New Roman" w:cs="Times New Roman"/>
        </w:rPr>
        <w:t xml:space="preserve">+ aktivnosti i mobilnosti utrošeno </w:t>
      </w:r>
      <w:r w:rsidR="004D0856">
        <w:rPr>
          <w:rFonts w:ascii="Times New Roman" w:hAnsi="Times New Roman" w:cs="Times New Roman"/>
        </w:rPr>
        <w:t xml:space="preserve">28.601,39 </w:t>
      </w:r>
      <w:r>
        <w:rPr>
          <w:rFonts w:ascii="Times New Roman" w:hAnsi="Times New Roman" w:cs="Times New Roman"/>
        </w:rPr>
        <w:t>eura</w:t>
      </w:r>
      <w:r w:rsidR="005A7CFE">
        <w:rPr>
          <w:rFonts w:ascii="Times New Roman" w:hAnsi="Times New Roman" w:cs="Times New Roman"/>
        </w:rPr>
        <w:t xml:space="preserve">. </w:t>
      </w:r>
      <w:r w:rsidR="00211A91">
        <w:rPr>
          <w:rFonts w:ascii="Times New Roman" w:hAnsi="Times New Roman" w:cs="Times New Roman"/>
        </w:rPr>
        <w:t>Na dan 31.12.202</w:t>
      </w:r>
      <w:r w:rsidR="004D0856">
        <w:rPr>
          <w:rFonts w:ascii="Times New Roman" w:hAnsi="Times New Roman" w:cs="Times New Roman"/>
        </w:rPr>
        <w:t>5</w:t>
      </w:r>
      <w:r w:rsidR="00211A91">
        <w:rPr>
          <w:rFonts w:ascii="Times New Roman" w:hAnsi="Times New Roman" w:cs="Times New Roman"/>
        </w:rPr>
        <w:t xml:space="preserve">. godine za provođenje aktivnosti i mobilnosti u sklopu </w:t>
      </w:r>
      <w:proofErr w:type="spellStart"/>
      <w:r w:rsidR="00211A91">
        <w:rPr>
          <w:rFonts w:ascii="Times New Roman" w:hAnsi="Times New Roman" w:cs="Times New Roman"/>
        </w:rPr>
        <w:t>Erasmus</w:t>
      </w:r>
      <w:proofErr w:type="spellEnd"/>
      <w:r w:rsidR="00211A91">
        <w:rPr>
          <w:rFonts w:ascii="Times New Roman" w:hAnsi="Times New Roman" w:cs="Times New Roman"/>
        </w:rPr>
        <w:t xml:space="preserve">+ projekata na raspolaganju je </w:t>
      </w:r>
      <w:r w:rsidR="004D0856">
        <w:rPr>
          <w:rFonts w:ascii="Times New Roman" w:hAnsi="Times New Roman" w:cs="Times New Roman"/>
        </w:rPr>
        <w:t>487,27 eura.</w:t>
      </w:r>
      <w:r w:rsidR="00EF3E8A">
        <w:rPr>
          <w:rFonts w:ascii="Times New Roman" w:hAnsi="Times New Roman" w:cs="Times New Roman"/>
        </w:rPr>
        <w:t xml:space="preserve"> Prema novoj Uputi za računovodstveno evidentiranje sredstava Europske unije propisano da se sredstva za novi projekt evidentiraju </w:t>
      </w:r>
      <w:proofErr w:type="spellStart"/>
      <w:r w:rsidR="00EF3E8A">
        <w:rPr>
          <w:rFonts w:ascii="Times New Roman" w:hAnsi="Times New Roman" w:cs="Times New Roman"/>
        </w:rPr>
        <w:t>izvanbilančno</w:t>
      </w:r>
      <w:proofErr w:type="spellEnd"/>
      <w:r w:rsidR="00EF3E8A">
        <w:rPr>
          <w:rFonts w:ascii="Times New Roman" w:hAnsi="Times New Roman" w:cs="Times New Roman"/>
        </w:rPr>
        <w:t xml:space="preserve"> (ukupno dodijeljena sredstva po Ugovoru), te kao obveza za EU predujam isplaćen od AMPEU</w:t>
      </w:r>
      <w:r w:rsidR="00AB2F87">
        <w:rPr>
          <w:rFonts w:ascii="Times New Roman" w:hAnsi="Times New Roman" w:cs="Times New Roman"/>
        </w:rPr>
        <w:t>. I</w:t>
      </w:r>
      <w:r w:rsidR="00EF3E8A">
        <w:rPr>
          <w:rFonts w:ascii="Times New Roman" w:hAnsi="Times New Roman" w:cs="Times New Roman"/>
        </w:rPr>
        <w:t xml:space="preserve">znos predujma prema Ugovoru </w:t>
      </w:r>
      <w:r w:rsidR="00AB2F87">
        <w:rPr>
          <w:rFonts w:ascii="Times New Roman" w:hAnsi="Times New Roman" w:cs="Times New Roman"/>
        </w:rPr>
        <w:t xml:space="preserve">za </w:t>
      </w:r>
      <w:r w:rsidR="00EF3E8A">
        <w:rPr>
          <w:rFonts w:ascii="Times New Roman" w:hAnsi="Times New Roman" w:cs="Times New Roman"/>
        </w:rPr>
        <w:t xml:space="preserve"> nov</w:t>
      </w:r>
      <w:r w:rsidR="00AB2F87">
        <w:rPr>
          <w:rFonts w:ascii="Times New Roman" w:hAnsi="Times New Roman" w:cs="Times New Roman"/>
        </w:rPr>
        <w:t>i</w:t>
      </w:r>
      <w:r w:rsidR="00EF3E8A">
        <w:rPr>
          <w:rFonts w:ascii="Times New Roman" w:hAnsi="Times New Roman" w:cs="Times New Roman"/>
        </w:rPr>
        <w:t xml:space="preserve"> projekt</w:t>
      </w:r>
      <w:r w:rsidR="00AB2F87">
        <w:rPr>
          <w:rFonts w:ascii="Times New Roman" w:hAnsi="Times New Roman" w:cs="Times New Roman"/>
        </w:rPr>
        <w:t xml:space="preserve"> Zero Waste koji se provodi od 01.0</w:t>
      </w:r>
      <w:r w:rsidR="00AB2488">
        <w:rPr>
          <w:rFonts w:ascii="Times New Roman" w:hAnsi="Times New Roman" w:cs="Times New Roman"/>
        </w:rPr>
        <w:t>6</w:t>
      </w:r>
      <w:r w:rsidR="00AB2F87">
        <w:rPr>
          <w:rFonts w:ascii="Times New Roman" w:hAnsi="Times New Roman" w:cs="Times New Roman"/>
        </w:rPr>
        <w:t>.2025. do 31.08.2026. godine</w:t>
      </w:r>
      <w:r w:rsidR="00EF3E8A">
        <w:rPr>
          <w:rFonts w:ascii="Times New Roman" w:hAnsi="Times New Roman" w:cs="Times New Roman"/>
        </w:rPr>
        <w:t xml:space="preserve"> iznosi </w:t>
      </w:r>
      <w:r w:rsidR="00AB2F87">
        <w:rPr>
          <w:rFonts w:ascii="Times New Roman" w:hAnsi="Times New Roman" w:cs="Times New Roman"/>
        </w:rPr>
        <w:t xml:space="preserve">22.644,00 eura, a ukupna vrijednost ugovora je 28.305,00 eura. Iako smo na dan 31.12.2025. godine trebali biti u </w:t>
      </w:r>
      <w:r w:rsidR="001F3433">
        <w:rPr>
          <w:rFonts w:ascii="Times New Roman" w:hAnsi="Times New Roman" w:cs="Times New Roman"/>
        </w:rPr>
        <w:t xml:space="preserve">manjku što se tiče </w:t>
      </w:r>
      <w:proofErr w:type="spellStart"/>
      <w:r w:rsidR="001F3433">
        <w:rPr>
          <w:rFonts w:ascii="Times New Roman" w:hAnsi="Times New Roman" w:cs="Times New Roman"/>
        </w:rPr>
        <w:t>Erasmus</w:t>
      </w:r>
      <w:proofErr w:type="spellEnd"/>
      <w:r w:rsidR="001F3433">
        <w:rPr>
          <w:rFonts w:ascii="Times New Roman" w:hAnsi="Times New Roman" w:cs="Times New Roman"/>
        </w:rPr>
        <w:t>+ projekata</w:t>
      </w:r>
      <w:r w:rsidR="00470588">
        <w:rPr>
          <w:rFonts w:ascii="Times New Roman" w:hAnsi="Times New Roman" w:cs="Times New Roman"/>
        </w:rPr>
        <w:t xml:space="preserve"> </w:t>
      </w:r>
      <w:r w:rsidR="001F3433">
        <w:rPr>
          <w:rFonts w:ascii="Times New Roman" w:hAnsi="Times New Roman" w:cs="Times New Roman"/>
        </w:rPr>
        <w:t xml:space="preserve">zbog novog evidentiranja sredstava, to se nije desilo jer smo raspolagali sredstvima od završenih </w:t>
      </w:r>
      <w:proofErr w:type="spellStart"/>
      <w:r w:rsidR="001F3433">
        <w:rPr>
          <w:rFonts w:ascii="Times New Roman" w:hAnsi="Times New Roman" w:cs="Times New Roman"/>
        </w:rPr>
        <w:t>Erasmus</w:t>
      </w:r>
      <w:proofErr w:type="spellEnd"/>
      <w:r w:rsidR="001F3433">
        <w:rPr>
          <w:rFonts w:ascii="Times New Roman" w:hAnsi="Times New Roman" w:cs="Times New Roman"/>
        </w:rPr>
        <w:t xml:space="preserve">+ projekata iz prethodnih godina koja nisu utrošena u cijelosti. </w:t>
      </w:r>
    </w:p>
    <w:p w:rsidR="001F3433" w:rsidRDefault="001F3433" w:rsidP="002B43A6">
      <w:pPr>
        <w:jc w:val="both"/>
        <w:rPr>
          <w:rFonts w:ascii="Times New Roman" w:hAnsi="Times New Roman" w:cs="Times New Roman"/>
        </w:rPr>
      </w:pPr>
    </w:p>
    <w:p w:rsidR="004E3608" w:rsidRDefault="001F3433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ostalih EU projekata u školi se još provodi projekt Školska shema i Prilika za sve 7. U nastavku je dana tablica u kojoj su vidljivi EU projekti u kojima sudjeluje škola. Nositelj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 projekta je škola, a projekata Školska shema i Prilika za sve 7 Koprivničko-križevačka županija.</w:t>
      </w:r>
    </w:p>
    <w:p w:rsidR="00297D90" w:rsidRDefault="00297D90" w:rsidP="002B43A6">
      <w:pPr>
        <w:jc w:val="both"/>
        <w:rPr>
          <w:rFonts w:ascii="Times New Roman" w:hAnsi="Times New Roman" w:cs="Times New Roman"/>
        </w:rPr>
      </w:pPr>
    </w:p>
    <w:p w:rsidR="00297D90" w:rsidRDefault="00297D90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5. Izvještaj o ugovorenim i uplaćenim sredstvima EU projekata za razdoblje od 1.1.2025. do 31.12.2025.</w:t>
      </w:r>
    </w:p>
    <w:p w:rsidR="00470588" w:rsidRDefault="00470588" w:rsidP="002B43A6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1960"/>
        <w:gridCol w:w="1261"/>
        <w:gridCol w:w="1446"/>
        <w:gridCol w:w="1433"/>
        <w:gridCol w:w="1405"/>
      </w:tblGrid>
      <w:tr w:rsidR="00AB2488" w:rsidTr="00020F36">
        <w:trPr>
          <w:jc w:val="center"/>
        </w:trPr>
        <w:tc>
          <w:tcPr>
            <w:tcW w:w="1557" w:type="dxa"/>
            <w:shd w:val="clear" w:color="auto" w:fill="D9E2F3" w:themeFill="accent1" w:themeFillTint="33"/>
            <w:vAlign w:val="center"/>
          </w:tcPr>
          <w:p w:rsidR="00297D90" w:rsidRPr="00297D90" w:rsidRDefault="00297D90" w:rsidP="0029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D90">
              <w:rPr>
                <w:rFonts w:ascii="Times New Roman" w:hAnsi="Times New Roman" w:cs="Times New Roman"/>
                <w:b/>
              </w:rPr>
              <w:t>Naziv projekta</w:t>
            </w:r>
          </w:p>
        </w:tc>
        <w:tc>
          <w:tcPr>
            <w:tcW w:w="1960" w:type="dxa"/>
            <w:shd w:val="clear" w:color="auto" w:fill="D9E2F3" w:themeFill="accent1" w:themeFillTint="33"/>
            <w:vAlign w:val="center"/>
          </w:tcPr>
          <w:p w:rsidR="00297D90" w:rsidRPr="00297D90" w:rsidRDefault="00297D90" w:rsidP="0029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D90">
              <w:rPr>
                <w:rFonts w:ascii="Times New Roman" w:hAnsi="Times New Roman" w:cs="Times New Roman"/>
                <w:b/>
              </w:rPr>
              <w:t>EU fond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297D90" w:rsidRPr="00297D90" w:rsidRDefault="00297D90" w:rsidP="0029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D90">
              <w:rPr>
                <w:rFonts w:ascii="Times New Roman" w:hAnsi="Times New Roman" w:cs="Times New Roman"/>
                <w:b/>
              </w:rPr>
              <w:t>Početak projekta</w:t>
            </w:r>
          </w:p>
        </w:tc>
        <w:tc>
          <w:tcPr>
            <w:tcW w:w="1446" w:type="dxa"/>
            <w:shd w:val="clear" w:color="auto" w:fill="D9E2F3" w:themeFill="accent1" w:themeFillTint="33"/>
            <w:vAlign w:val="center"/>
          </w:tcPr>
          <w:p w:rsidR="00297D90" w:rsidRPr="00297D90" w:rsidRDefault="00297D90" w:rsidP="0029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D90">
              <w:rPr>
                <w:rFonts w:ascii="Times New Roman" w:hAnsi="Times New Roman" w:cs="Times New Roman"/>
                <w:b/>
              </w:rPr>
              <w:t>Završetak projekta</w:t>
            </w:r>
          </w:p>
        </w:tc>
        <w:tc>
          <w:tcPr>
            <w:tcW w:w="1433" w:type="dxa"/>
            <w:shd w:val="clear" w:color="auto" w:fill="D9E2F3" w:themeFill="accent1" w:themeFillTint="33"/>
            <w:vAlign w:val="center"/>
          </w:tcPr>
          <w:p w:rsidR="00297D90" w:rsidRPr="00297D90" w:rsidRDefault="00297D90" w:rsidP="0029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D90">
              <w:rPr>
                <w:rFonts w:ascii="Times New Roman" w:hAnsi="Times New Roman" w:cs="Times New Roman"/>
                <w:b/>
              </w:rPr>
              <w:t>Ukupno ugovorena sredstva</w:t>
            </w:r>
          </w:p>
        </w:tc>
        <w:tc>
          <w:tcPr>
            <w:tcW w:w="1405" w:type="dxa"/>
            <w:shd w:val="clear" w:color="auto" w:fill="D9E2F3" w:themeFill="accent1" w:themeFillTint="33"/>
            <w:vAlign w:val="center"/>
          </w:tcPr>
          <w:p w:rsidR="00297D90" w:rsidRPr="00297D90" w:rsidRDefault="00297D90" w:rsidP="0029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D90">
              <w:rPr>
                <w:rFonts w:ascii="Times New Roman" w:hAnsi="Times New Roman" w:cs="Times New Roman"/>
                <w:b/>
              </w:rPr>
              <w:t>Ukupno uplaćena sredstva</w:t>
            </w:r>
          </w:p>
        </w:tc>
      </w:tr>
      <w:tr w:rsidR="00020F36" w:rsidTr="00020F36">
        <w:trPr>
          <w:jc w:val="center"/>
        </w:trPr>
        <w:tc>
          <w:tcPr>
            <w:tcW w:w="1557" w:type="dxa"/>
          </w:tcPr>
          <w:p w:rsidR="00297D90" w:rsidRDefault="00297D90" w:rsidP="00297D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</w:rPr>
              <w:t xml:space="preserve">+ </w:t>
            </w:r>
            <w:r w:rsidR="00EF5675">
              <w:rPr>
                <w:rFonts w:ascii="Times New Roman" w:hAnsi="Times New Roman" w:cs="Times New Roman"/>
              </w:rPr>
              <w:t xml:space="preserve"> (Brza moda)</w:t>
            </w:r>
          </w:p>
        </w:tc>
        <w:tc>
          <w:tcPr>
            <w:tcW w:w="1960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510-Programi unije</w:t>
            </w:r>
          </w:p>
        </w:tc>
        <w:tc>
          <w:tcPr>
            <w:tcW w:w="1261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01.06.2024.</w:t>
            </w:r>
          </w:p>
        </w:tc>
        <w:tc>
          <w:tcPr>
            <w:tcW w:w="1446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31.08.2025.</w:t>
            </w:r>
          </w:p>
        </w:tc>
        <w:tc>
          <w:tcPr>
            <w:tcW w:w="1433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28.211,00</w:t>
            </w:r>
          </w:p>
        </w:tc>
        <w:tc>
          <w:tcPr>
            <w:tcW w:w="1405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28.211,00</w:t>
            </w:r>
          </w:p>
        </w:tc>
      </w:tr>
      <w:tr w:rsidR="00020F36" w:rsidTr="00020F36">
        <w:trPr>
          <w:jc w:val="center"/>
        </w:trPr>
        <w:tc>
          <w:tcPr>
            <w:tcW w:w="1557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</w:rPr>
              <w:t>+ (Zero Waste)</w:t>
            </w:r>
          </w:p>
        </w:tc>
        <w:tc>
          <w:tcPr>
            <w:tcW w:w="1960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  <w:r w:rsidR="00AB2488">
              <w:rPr>
                <w:rFonts w:ascii="Times New Roman" w:hAnsi="Times New Roman" w:cs="Times New Roman"/>
              </w:rPr>
              <w:t>-P</w:t>
            </w:r>
            <w:r>
              <w:rPr>
                <w:rFonts w:ascii="Times New Roman" w:hAnsi="Times New Roman" w:cs="Times New Roman"/>
              </w:rPr>
              <w:t>rogrami unije</w:t>
            </w:r>
          </w:p>
        </w:tc>
        <w:tc>
          <w:tcPr>
            <w:tcW w:w="1261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01.06.2025.</w:t>
            </w:r>
          </w:p>
        </w:tc>
        <w:tc>
          <w:tcPr>
            <w:tcW w:w="1446" w:type="dxa"/>
          </w:tcPr>
          <w:p w:rsidR="00297D90" w:rsidRDefault="00EF567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31.08.2026.</w:t>
            </w:r>
          </w:p>
        </w:tc>
        <w:tc>
          <w:tcPr>
            <w:tcW w:w="1433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28.305,00</w:t>
            </w:r>
          </w:p>
        </w:tc>
        <w:tc>
          <w:tcPr>
            <w:tcW w:w="1405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22.644,00</w:t>
            </w:r>
          </w:p>
        </w:tc>
      </w:tr>
      <w:tr w:rsidR="00020F36" w:rsidTr="00020F36">
        <w:trPr>
          <w:jc w:val="center"/>
        </w:trPr>
        <w:tc>
          <w:tcPr>
            <w:tcW w:w="1557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Prilika za sve 7</w:t>
            </w:r>
          </w:p>
        </w:tc>
        <w:tc>
          <w:tcPr>
            <w:tcW w:w="1960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561–Europski socijalni fond plus</w:t>
            </w:r>
          </w:p>
        </w:tc>
        <w:tc>
          <w:tcPr>
            <w:tcW w:w="1261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01.09.2024.</w:t>
            </w:r>
          </w:p>
        </w:tc>
        <w:tc>
          <w:tcPr>
            <w:tcW w:w="1446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31.08.2026.</w:t>
            </w:r>
          </w:p>
        </w:tc>
        <w:tc>
          <w:tcPr>
            <w:tcW w:w="1433" w:type="dxa"/>
          </w:tcPr>
          <w:p w:rsidR="00297D90" w:rsidRDefault="000630E5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ukupnih troškova*</w:t>
            </w:r>
          </w:p>
        </w:tc>
        <w:tc>
          <w:tcPr>
            <w:tcW w:w="1405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11.462,33</w:t>
            </w:r>
          </w:p>
        </w:tc>
      </w:tr>
      <w:tr w:rsidR="00020F36" w:rsidTr="00020F36">
        <w:trPr>
          <w:jc w:val="center"/>
        </w:trPr>
        <w:tc>
          <w:tcPr>
            <w:tcW w:w="1557" w:type="dxa"/>
          </w:tcPr>
          <w:p w:rsidR="00297D90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shema 2024/2025</w:t>
            </w:r>
          </w:p>
        </w:tc>
        <w:tc>
          <w:tcPr>
            <w:tcW w:w="1960" w:type="dxa"/>
          </w:tcPr>
          <w:p w:rsidR="00297D90" w:rsidRDefault="00020F36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9B47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–Europski poljoprivredni fond za ruralni razvoj</w:t>
            </w:r>
          </w:p>
        </w:tc>
        <w:tc>
          <w:tcPr>
            <w:tcW w:w="1261" w:type="dxa"/>
          </w:tcPr>
          <w:p w:rsidR="00297D90" w:rsidRDefault="00F462DD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15.10.2024.</w:t>
            </w:r>
          </w:p>
        </w:tc>
        <w:tc>
          <w:tcPr>
            <w:tcW w:w="1446" w:type="dxa"/>
          </w:tcPr>
          <w:p w:rsidR="00297D90" w:rsidRDefault="00F462DD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13.06.2025.</w:t>
            </w:r>
          </w:p>
        </w:tc>
        <w:tc>
          <w:tcPr>
            <w:tcW w:w="1433" w:type="dxa"/>
          </w:tcPr>
          <w:p w:rsidR="00297D90" w:rsidRDefault="00F462DD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3.801,28</w:t>
            </w:r>
          </w:p>
        </w:tc>
        <w:tc>
          <w:tcPr>
            <w:tcW w:w="1405" w:type="dxa"/>
          </w:tcPr>
          <w:p w:rsidR="00297D90" w:rsidRDefault="00504CC7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3.078,04</w:t>
            </w:r>
          </w:p>
        </w:tc>
      </w:tr>
      <w:tr w:rsidR="00EF5675" w:rsidTr="00020F36">
        <w:trPr>
          <w:jc w:val="center"/>
        </w:trPr>
        <w:tc>
          <w:tcPr>
            <w:tcW w:w="1557" w:type="dxa"/>
          </w:tcPr>
          <w:p w:rsidR="00EF5675" w:rsidRDefault="00AB2488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Školska shema 2025/2026</w:t>
            </w:r>
          </w:p>
        </w:tc>
        <w:tc>
          <w:tcPr>
            <w:tcW w:w="1960" w:type="dxa"/>
          </w:tcPr>
          <w:p w:rsidR="00EF5675" w:rsidRDefault="00020F36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565–Europski poljoprivredni fond za ruralni razvoj</w:t>
            </w:r>
          </w:p>
        </w:tc>
        <w:tc>
          <w:tcPr>
            <w:tcW w:w="1261" w:type="dxa"/>
          </w:tcPr>
          <w:p w:rsidR="00EF5675" w:rsidRDefault="00020F36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446" w:type="dxa"/>
          </w:tcPr>
          <w:p w:rsidR="00EF5675" w:rsidRDefault="00504CC7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12.06.2026.</w:t>
            </w:r>
          </w:p>
        </w:tc>
        <w:tc>
          <w:tcPr>
            <w:tcW w:w="1433" w:type="dxa"/>
          </w:tcPr>
          <w:p w:rsidR="00EF5675" w:rsidRDefault="00020F36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3.754,96</w:t>
            </w:r>
          </w:p>
        </w:tc>
        <w:tc>
          <w:tcPr>
            <w:tcW w:w="1405" w:type="dxa"/>
          </w:tcPr>
          <w:p w:rsidR="00EF5675" w:rsidRDefault="00A17DBA" w:rsidP="00297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876E20" w:rsidRDefault="00876E20" w:rsidP="002B43A6">
      <w:pPr>
        <w:jc w:val="both"/>
        <w:rPr>
          <w:rFonts w:ascii="Times New Roman" w:hAnsi="Times New Roman" w:cs="Times New Roman"/>
        </w:rPr>
      </w:pPr>
    </w:p>
    <w:p w:rsidR="00876E20" w:rsidRDefault="000630E5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*u šk. godini 2024./2025 omjer financiranja je bio 70% EU projekt, 30% </w:t>
      </w:r>
      <w:bookmarkStart w:id="3" w:name="_Hlk224634320"/>
      <w:r>
        <w:rPr>
          <w:rFonts w:ascii="Times New Roman" w:hAnsi="Times New Roman" w:cs="Times New Roman"/>
        </w:rPr>
        <w:t>Koprivničko-križevačk</w:t>
      </w:r>
      <w:bookmarkEnd w:id="3"/>
      <w:r>
        <w:rPr>
          <w:rFonts w:ascii="Times New Roman" w:hAnsi="Times New Roman" w:cs="Times New Roman"/>
        </w:rPr>
        <w:t xml:space="preserve">a županija, a za šk. godinu 2025./2026. omjer financiranja je 50% EU projekt, 50% Koprivničko-križevačka županija. </w:t>
      </w:r>
    </w:p>
    <w:p w:rsidR="00470588" w:rsidRDefault="00470588" w:rsidP="002B43A6">
      <w:pPr>
        <w:jc w:val="both"/>
        <w:rPr>
          <w:rFonts w:ascii="Times New Roman" w:hAnsi="Times New Roman" w:cs="Times New Roman"/>
        </w:rPr>
      </w:pPr>
    </w:p>
    <w:p w:rsidR="000630E5" w:rsidRDefault="000630E5" w:rsidP="002B43A6">
      <w:pPr>
        <w:jc w:val="both"/>
        <w:rPr>
          <w:rFonts w:ascii="Times New Roman" w:hAnsi="Times New Roman" w:cs="Times New Roman"/>
        </w:rPr>
      </w:pPr>
    </w:p>
    <w:p w:rsidR="00211A91" w:rsidRDefault="00470588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11A91">
        <w:rPr>
          <w:rFonts w:ascii="Times New Roman" w:hAnsi="Times New Roman" w:cs="Times New Roman"/>
        </w:rPr>
        <w:t xml:space="preserve">3. Izvještaj o danim zajmovima i potraživanjima po danim zajmovima </w:t>
      </w:r>
    </w:p>
    <w:p w:rsidR="00470588" w:rsidRDefault="00211A91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Sveti Petar Orehovec u 202</w:t>
      </w:r>
      <w:r w:rsidR="00A17DB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 nije imala ni danih </w:t>
      </w:r>
      <w:r w:rsidR="007422A5">
        <w:rPr>
          <w:rFonts w:ascii="Times New Roman" w:hAnsi="Times New Roman" w:cs="Times New Roman"/>
        </w:rPr>
        <w:t xml:space="preserve">ni primljenih zajmova. </w:t>
      </w:r>
    </w:p>
    <w:p w:rsidR="00470588" w:rsidRDefault="00470588" w:rsidP="002B43A6">
      <w:pPr>
        <w:jc w:val="both"/>
        <w:rPr>
          <w:rFonts w:ascii="Times New Roman" w:hAnsi="Times New Roman" w:cs="Times New Roman"/>
        </w:rPr>
      </w:pPr>
    </w:p>
    <w:p w:rsidR="00C11164" w:rsidRDefault="00C11164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Izvještaj o stanju potraživanja i dospjelih obveza te o stanju potencijalnih obveza po osnovi sudskih sporova</w:t>
      </w:r>
    </w:p>
    <w:p w:rsidR="00AF47B2" w:rsidRDefault="00AF47B2" w:rsidP="002B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naknade koje se refundiraju iznose 705,63 eura, a odnose se na sredstva za bolovanja na teret HZZO-a. Ostala nespomenuta potraživanja u iznosu 2.291,40 eura su više plaćena sredstva u inozemstvo za uslugu prijevoza (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+) koja su početkom siječnja vraćena na račun.</w:t>
      </w:r>
    </w:p>
    <w:p w:rsidR="004E3608" w:rsidRDefault="00C11164" w:rsidP="002B43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>Stanje</w:t>
      </w:r>
      <w:r w:rsidR="00D71C82">
        <w:rPr>
          <w:rFonts w:ascii="Times New Roman" w:hAnsi="Times New Roman" w:cs="Times New Roman"/>
        </w:rPr>
        <w:t xml:space="preserve"> nenaplaćenih</w:t>
      </w:r>
      <w:r>
        <w:rPr>
          <w:rFonts w:ascii="Times New Roman" w:hAnsi="Times New Roman" w:cs="Times New Roman"/>
        </w:rPr>
        <w:t xml:space="preserve"> potraživanja na dan 31.12.202</w:t>
      </w:r>
      <w:r w:rsidR="00A17DB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</w:t>
      </w:r>
      <w:r w:rsidR="00A217DC">
        <w:rPr>
          <w:rFonts w:ascii="Times New Roman" w:hAnsi="Times New Roman" w:cs="Times New Roman"/>
        </w:rPr>
        <w:t xml:space="preserve">iznosi </w:t>
      </w:r>
      <w:r w:rsidR="00C92D5C">
        <w:rPr>
          <w:rFonts w:ascii="Times New Roman" w:hAnsi="Times New Roman" w:cs="Times New Roman"/>
        </w:rPr>
        <w:t>213.</w:t>
      </w:r>
      <w:r w:rsidR="00AF47B2">
        <w:rPr>
          <w:rFonts w:ascii="Times New Roman" w:hAnsi="Times New Roman" w:cs="Times New Roman"/>
        </w:rPr>
        <w:t>769,0</w:t>
      </w:r>
      <w:r w:rsidR="00C92D5C">
        <w:rPr>
          <w:rFonts w:ascii="Times New Roman" w:hAnsi="Times New Roman" w:cs="Times New Roman"/>
        </w:rPr>
        <w:t>3</w:t>
      </w:r>
      <w:r w:rsidR="00A217DC">
        <w:rPr>
          <w:rFonts w:ascii="Times New Roman" w:hAnsi="Times New Roman" w:cs="Times New Roman"/>
        </w:rPr>
        <w:t xml:space="preserve"> eura</w:t>
      </w:r>
      <w:r w:rsidR="00D71C82">
        <w:rPr>
          <w:rFonts w:ascii="Times New Roman" w:hAnsi="Times New Roman" w:cs="Times New Roman"/>
        </w:rPr>
        <w:t xml:space="preserve">, </w:t>
      </w:r>
      <w:r w:rsidR="00C92D5C">
        <w:rPr>
          <w:rFonts w:ascii="Times New Roman" w:hAnsi="Times New Roman" w:cs="Times New Roman"/>
        </w:rPr>
        <w:t xml:space="preserve">od kojih se </w:t>
      </w:r>
      <w:r w:rsidR="00C92D5C" w:rsidRPr="00C92D5C">
        <w:rPr>
          <w:rFonts w:ascii="Times New Roman" w:hAnsi="Times New Roman" w:cs="Times New Roman"/>
        </w:rPr>
        <w:t xml:space="preserve">141.844,25 </w:t>
      </w:r>
      <w:r w:rsidR="00C92D5C">
        <w:rPr>
          <w:rFonts w:ascii="Times New Roman" w:hAnsi="Times New Roman" w:cs="Times New Roman"/>
        </w:rPr>
        <w:t xml:space="preserve">eura odnosi  na </w:t>
      </w:r>
      <w:r w:rsidR="00C92D5C" w:rsidRPr="00C92D5C">
        <w:rPr>
          <w:rFonts w:ascii="Times New Roman" w:hAnsi="Times New Roman" w:cs="Times New Roman"/>
        </w:rPr>
        <w:t xml:space="preserve">Potraživanja za tekuće pomoći proračunskim korisnicima iz proračuna koji im nije nadležan </w:t>
      </w:r>
      <w:r w:rsidR="00C92D5C">
        <w:rPr>
          <w:rFonts w:ascii="Times New Roman" w:hAnsi="Times New Roman" w:cs="Times New Roman"/>
        </w:rPr>
        <w:t>–</w:t>
      </w:r>
      <w:r w:rsidR="00C92D5C" w:rsidRPr="00C92D5C">
        <w:rPr>
          <w:rFonts w:ascii="Times New Roman" w:hAnsi="Times New Roman" w:cs="Times New Roman"/>
        </w:rPr>
        <w:t xml:space="preserve"> plaća</w:t>
      </w:r>
      <w:r w:rsidR="001D4A80">
        <w:rPr>
          <w:rFonts w:ascii="Times New Roman" w:hAnsi="Times New Roman" w:cs="Times New Roman"/>
        </w:rPr>
        <w:t xml:space="preserve"> za 12/2025 kojoj je dospijeće u siječnju 2026.</w:t>
      </w:r>
      <w:r w:rsidR="009B4718">
        <w:rPr>
          <w:rFonts w:ascii="Times New Roman" w:hAnsi="Times New Roman" w:cs="Times New Roman"/>
        </w:rPr>
        <w:t xml:space="preserve"> godine.</w:t>
      </w:r>
      <w:r w:rsidR="001D4A80">
        <w:rPr>
          <w:rFonts w:ascii="Times New Roman" w:hAnsi="Times New Roman" w:cs="Times New Roman"/>
        </w:rPr>
        <w:t xml:space="preserve"> </w:t>
      </w:r>
      <w:r w:rsidR="00C92D5C">
        <w:rPr>
          <w:rFonts w:ascii="Times New Roman" w:hAnsi="Times New Roman" w:cs="Times New Roman"/>
        </w:rPr>
        <w:t xml:space="preserve">1.861,30 eura odnosi se na </w:t>
      </w:r>
      <w:r w:rsidR="00C92D5C" w:rsidRPr="00C92D5C">
        <w:rPr>
          <w:rFonts w:ascii="Times New Roman" w:hAnsi="Times New Roman" w:cs="Times New Roman"/>
        </w:rPr>
        <w:t>Potraživanja za tekuće pomoći proračunskim korisnicima iz proračuna</w:t>
      </w:r>
      <w:r w:rsidR="00C92D5C">
        <w:rPr>
          <w:rFonts w:ascii="Times New Roman" w:hAnsi="Times New Roman" w:cs="Times New Roman"/>
        </w:rPr>
        <w:t xml:space="preserve"> Općine Sveti Petar Orehovec za tekuće troškove sportske dvorane, 11.517,14 eura odnosi se na </w:t>
      </w:r>
      <w:r w:rsidR="00C92D5C" w:rsidRPr="00C92D5C">
        <w:rPr>
          <w:rFonts w:ascii="Times New Roman" w:hAnsi="Times New Roman" w:cs="Times New Roman"/>
        </w:rPr>
        <w:t>Potraživanja za pomoći temeljem prijenosa EU sredstava</w:t>
      </w:r>
      <w:r w:rsidR="00C92D5C">
        <w:rPr>
          <w:rFonts w:ascii="Times New Roman" w:hAnsi="Times New Roman" w:cs="Times New Roman"/>
        </w:rPr>
        <w:t xml:space="preserve"> za </w:t>
      </w:r>
      <w:proofErr w:type="spellStart"/>
      <w:r w:rsidR="00C92D5C">
        <w:rPr>
          <w:rFonts w:ascii="Times New Roman" w:hAnsi="Times New Roman" w:cs="Times New Roman"/>
        </w:rPr>
        <w:t>Erasmus</w:t>
      </w:r>
      <w:proofErr w:type="spellEnd"/>
      <w:r w:rsidR="00C92D5C">
        <w:rPr>
          <w:rFonts w:ascii="Times New Roman" w:hAnsi="Times New Roman" w:cs="Times New Roman"/>
        </w:rPr>
        <w:t>+ projekt Zero Waste prema obračunu troškova za razdoblje 9.-12.2025. go</w:t>
      </w:r>
      <w:r w:rsidR="001D4A80">
        <w:rPr>
          <w:rFonts w:ascii="Times New Roman" w:hAnsi="Times New Roman" w:cs="Times New Roman"/>
        </w:rPr>
        <w:t>dine</w:t>
      </w:r>
      <w:r w:rsidR="009B4718">
        <w:rPr>
          <w:rFonts w:ascii="Times New Roman" w:hAnsi="Times New Roman" w:cs="Times New Roman"/>
        </w:rPr>
        <w:t xml:space="preserve">. Potraživanja od ostalih nespomenutih prihoda u iznosu 150,29 eura odnose se na račune za prehranu u školskoj kuhinji za djelatnike kojima je dospijeće u siječnju 2026. 8.320,85 eura je potraživanje za </w:t>
      </w:r>
      <w:r w:rsidR="009B4718" w:rsidRPr="00F44E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penale za građevinske radove na PŠ </w:t>
      </w:r>
      <w:proofErr w:type="spellStart"/>
      <w:r w:rsidR="009B4718" w:rsidRPr="00F44EF2">
        <w:rPr>
          <w:rFonts w:ascii="Times New Roman" w:eastAsia="Times New Roman" w:hAnsi="Times New Roman" w:cs="Times New Roman"/>
          <w:sz w:val="24"/>
          <w:szCs w:val="24"/>
          <w:lang w:eastAsia="hr-HR"/>
        </w:rPr>
        <w:t>Miholec</w:t>
      </w:r>
      <w:proofErr w:type="spellEnd"/>
      <w:r w:rsidR="009B4718" w:rsidRPr="00F44E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poduzeću Željo-grad d.o.o. zbog kašnjenja s izvođenjem radova.</w:t>
      </w:r>
      <w:r w:rsidR="009B4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Nenaplaćena potraživanja za prihode od prodaje proizvoda i robe iznose 1.267,94 eura, a odnose se na potraživanje za višak proizvedene  električne energije, za prodaju starog papira </w:t>
      </w:r>
      <w:r w:rsidR="00AF47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željezne profile. Potraživanja za prihode od pruženih usluga iznose 2.345,40 eura, a odnose se na najam sportske dvorane. </w:t>
      </w:r>
      <w:r w:rsidR="00AF47B2" w:rsidRPr="00AF47B2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proračunskih korisnika za sredstva uplaćena u nadležni proračun</w:t>
      </w:r>
      <w:r w:rsidR="00AF47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46.461,86 eura. </w:t>
      </w:r>
      <w:r w:rsidR="00B23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A41A0" w:rsidRDefault="00B23DDF" w:rsidP="0009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>Na kraju godine</w:t>
      </w:r>
      <w:r w:rsidR="00AF47B2">
        <w:rPr>
          <w:rFonts w:ascii="Times New Roman" w:hAnsi="Times New Roman" w:cs="Times New Roman"/>
        </w:rPr>
        <w:t xml:space="preserve"> nije proveden i</w:t>
      </w:r>
      <w:r>
        <w:rPr>
          <w:rFonts w:ascii="Times New Roman" w:hAnsi="Times New Roman" w:cs="Times New Roman"/>
        </w:rPr>
        <w:t>spravak vrijednosti potraživanja prema novom Pravilniku o proračunskom računovodstvu i računskom planu</w:t>
      </w:r>
      <w:r w:rsidR="0009732C">
        <w:rPr>
          <w:rFonts w:ascii="Times New Roman" w:hAnsi="Times New Roman" w:cs="Times New Roman"/>
        </w:rPr>
        <w:t xml:space="preserve">, </w:t>
      </w:r>
      <w:r w:rsidR="0009732C" w:rsidRPr="0009732C">
        <w:rPr>
          <w:rFonts w:ascii="Times New Roman" w:eastAsia="Times New Roman" w:hAnsi="Times New Roman" w:cs="Times New Roman"/>
          <w:sz w:val="24"/>
          <w:szCs w:val="24"/>
          <w:lang w:eastAsia="hr-HR"/>
        </w:rPr>
        <w:t>50% za dospjele račune  - kašnjenje u naplati više od dvije godine</w:t>
      </w:r>
      <w:r w:rsidR="00A25A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račun Željo-grad d.o.o. kojem je rok dospijeća bio 21.03.2023. godine, pa će se provesti s 31.12.2026. godine. </w:t>
      </w:r>
    </w:p>
    <w:p w:rsidR="000A41A0" w:rsidRDefault="000A41A0" w:rsidP="000A41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Nepodmirene d</w:t>
      </w:r>
      <w:r w:rsidRPr="000A41A0">
        <w:rPr>
          <w:rFonts w:ascii="Times New Roman" w:hAnsi="Times New Roman" w:cs="Times New Roman"/>
        </w:rPr>
        <w:t xml:space="preserve">ospjele obveze za nabavu nefinancijske imovine s prekoračenjem preko 360 dana odnose se na zadnju situaciju za radove na PŠ </w:t>
      </w:r>
      <w:proofErr w:type="spellStart"/>
      <w:r w:rsidRPr="000A41A0">
        <w:rPr>
          <w:rFonts w:ascii="Times New Roman" w:hAnsi="Times New Roman" w:cs="Times New Roman"/>
        </w:rPr>
        <w:t>Miholec</w:t>
      </w:r>
      <w:proofErr w:type="spellEnd"/>
      <w:r w:rsidRPr="000A41A0">
        <w:rPr>
          <w:rFonts w:ascii="Times New Roman" w:hAnsi="Times New Roman" w:cs="Times New Roman"/>
        </w:rPr>
        <w:t xml:space="preserve"> IV. faza gdje je izvođač kasnio sa izvođenjem radova, te su mu u istom iznosu obračunati penali i poslana je izjava o prijeboju koja nije vraćena, te za navedeno postoji i potraživanje i obveza</w:t>
      </w:r>
      <w:r>
        <w:rPr>
          <w:rFonts w:ascii="Times New Roman" w:hAnsi="Times New Roman" w:cs="Times New Roman"/>
        </w:rPr>
        <w:t xml:space="preserve"> u iznosu od 8.320,85 eura.</w:t>
      </w:r>
    </w:p>
    <w:p w:rsidR="00256688" w:rsidRDefault="00AB7942" w:rsidP="00AB7942">
      <w:pPr>
        <w:jc w:val="both"/>
        <w:rPr>
          <w:rFonts w:ascii="Times New Roman" w:hAnsi="Times New Roman" w:cs="Times New Roman"/>
        </w:rPr>
      </w:pPr>
      <w:r w:rsidRPr="00AB7942">
        <w:rPr>
          <w:rFonts w:ascii="Times New Roman" w:hAnsi="Times New Roman" w:cs="Times New Roman"/>
        </w:rPr>
        <w:t xml:space="preserve">Za sudski spor koji se vodio od 2022. godine donesena je pravomoćna presuda 2024. godine, završen je i isplaćena je razlika plaće sa svim pripadajućim troškovima u iznosu od 234,19 eura dana 22.02.2024. godine,  tako da OŠ Sveti Petar Orehovec više nema sudskih sporova u tijeku. </w:t>
      </w:r>
    </w:p>
    <w:p w:rsidR="00A25A79" w:rsidRDefault="00A25A79" w:rsidP="00AB7942">
      <w:pPr>
        <w:jc w:val="both"/>
        <w:rPr>
          <w:rFonts w:ascii="Times New Roman" w:hAnsi="Times New Roman" w:cs="Times New Roman"/>
        </w:rPr>
      </w:pPr>
    </w:p>
    <w:p w:rsidR="00256688" w:rsidRDefault="00256688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4.5. Izvještaj o danim jamstvima i plaćanjima po protestiranim jamstvima</w:t>
      </w:r>
    </w:p>
    <w:p w:rsidR="00470588" w:rsidRDefault="00470588" w:rsidP="00AB7942">
      <w:pPr>
        <w:jc w:val="both"/>
        <w:rPr>
          <w:rFonts w:ascii="Times New Roman" w:hAnsi="Times New Roman" w:cs="Times New Roman"/>
        </w:rPr>
      </w:pPr>
    </w:p>
    <w:p w:rsidR="00256688" w:rsidRDefault="00256688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Sveti Petar Orehovec nije davala jamstva niti imala plaćanja po protestiranim jamstvima u 202</w:t>
      </w:r>
      <w:r w:rsidR="00A25A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godini. </w:t>
      </w:r>
    </w:p>
    <w:p w:rsidR="00470588" w:rsidRDefault="00470588" w:rsidP="00470588">
      <w:pPr>
        <w:rPr>
          <w:rFonts w:ascii="Times New Roman" w:hAnsi="Times New Roman" w:cs="Times New Roman"/>
          <w:b/>
        </w:rPr>
      </w:pPr>
    </w:p>
    <w:p w:rsidR="003F082A" w:rsidRDefault="003F082A" w:rsidP="00470588">
      <w:pPr>
        <w:rPr>
          <w:rFonts w:ascii="Times New Roman" w:hAnsi="Times New Roman" w:cs="Times New Roman"/>
          <w:b/>
        </w:rPr>
      </w:pPr>
    </w:p>
    <w:p w:rsidR="00256688" w:rsidRPr="007D47DA" w:rsidRDefault="00256688" w:rsidP="00470588">
      <w:pPr>
        <w:jc w:val="center"/>
        <w:rPr>
          <w:rFonts w:ascii="Times New Roman" w:hAnsi="Times New Roman" w:cs="Times New Roman"/>
          <w:b/>
        </w:rPr>
      </w:pPr>
      <w:r w:rsidRPr="007D47DA">
        <w:rPr>
          <w:rFonts w:ascii="Times New Roman" w:hAnsi="Times New Roman" w:cs="Times New Roman"/>
          <w:b/>
        </w:rPr>
        <w:t>5. ZAVRŠNE ODREDBE</w:t>
      </w:r>
    </w:p>
    <w:p w:rsidR="00256688" w:rsidRDefault="00256688" w:rsidP="004705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256688" w:rsidRDefault="00256688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financijskog plana Osnovne škole Sveti Petar Orehovec objavit će se na internetskoj stranici Osnovne škole Sveti Petar Orehovec u roku od 15 dana od d</w:t>
      </w:r>
      <w:r w:rsidR="00A25A7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na usvajanja Školskog odbora Osnovne škole Sveti Petar Orehovec.</w:t>
      </w:r>
    </w:p>
    <w:p w:rsidR="00256688" w:rsidRDefault="00256688" w:rsidP="00AB7942">
      <w:pPr>
        <w:jc w:val="both"/>
        <w:rPr>
          <w:rFonts w:ascii="Times New Roman" w:hAnsi="Times New Roman" w:cs="Times New Roman"/>
        </w:rPr>
      </w:pPr>
    </w:p>
    <w:p w:rsidR="00256688" w:rsidRDefault="00256688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E62061">
        <w:rPr>
          <w:rFonts w:ascii="Times New Roman" w:hAnsi="Times New Roman" w:cs="Times New Roman"/>
        </w:rPr>
        <w:t>007-02/26-02/4</w:t>
      </w:r>
    </w:p>
    <w:p w:rsidR="00256688" w:rsidRDefault="00256688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E62061">
        <w:rPr>
          <w:rFonts w:ascii="Times New Roman" w:hAnsi="Times New Roman" w:cs="Times New Roman"/>
        </w:rPr>
        <w:t>2137-44-26-3</w:t>
      </w:r>
      <w:bookmarkStart w:id="4" w:name="_GoBack"/>
      <w:bookmarkEnd w:id="4"/>
    </w:p>
    <w:p w:rsidR="007D47DA" w:rsidRDefault="007D47DA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Sveti Petar Orehovec,</w:t>
      </w:r>
      <w:r w:rsidR="00F12137">
        <w:rPr>
          <w:rFonts w:ascii="Times New Roman" w:hAnsi="Times New Roman" w:cs="Times New Roman"/>
        </w:rPr>
        <w:t xml:space="preserve"> </w:t>
      </w:r>
      <w:r w:rsidR="00E62061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>. ožujka 202</w:t>
      </w:r>
      <w:r w:rsidR="00F1213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                                              Predsjednica Školskog odbora:</w:t>
      </w:r>
    </w:p>
    <w:p w:rsidR="007D47DA" w:rsidRDefault="007D47DA" w:rsidP="00AB7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F121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A25A79">
        <w:rPr>
          <w:rFonts w:ascii="Times New Roman" w:hAnsi="Times New Roman" w:cs="Times New Roman"/>
        </w:rPr>
        <w:t xml:space="preserve">Ljiljana </w:t>
      </w:r>
      <w:proofErr w:type="spellStart"/>
      <w:r w:rsidR="00A25A79">
        <w:rPr>
          <w:rFonts w:ascii="Times New Roman" w:hAnsi="Times New Roman" w:cs="Times New Roman"/>
        </w:rPr>
        <w:t>Picig</w:t>
      </w:r>
      <w:proofErr w:type="spellEnd"/>
      <w:r w:rsidR="00A25A79">
        <w:rPr>
          <w:rFonts w:ascii="Times New Roman" w:hAnsi="Times New Roman" w:cs="Times New Roman"/>
        </w:rPr>
        <w:t>,</w:t>
      </w:r>
      <w:r w:rsidR="00F12137">
        <w:rPr>
          <w:rFonts w:ascii="Times New Roman" w:hAnsi="Times New Roman" w:cs="Times New Roman"/>
        </w:rPr>
        <w:t xml:space="preserve"> </w:t>
      </w:r>
      <w:proofErr w:type="spellStart"/>
      <w:r w:rsidR="00F12137">
        <w:rPr>
          <w:rFonts w:ascii="Times New Roman" w:hAnsi="Times New Roman" w:cs="Times New Roman"/>
        </w:rPr>
        <w:t>mag</w:t>
      </w:r>
      <w:proofErr w:type="spellEnd"/>
      <w:r w:rsidR="00F12137">
        <w:rPr>
          <w:rFonts w:ascii="Times New Roman" w:hAnsi="Times New Roman" w:cs="Times New Roman"/>
        </w:rPr>
        <w:t xml:space="preserve">. prim. </w:t>
      </w:r>
      <w:proofErr w:type="spellStart"/>
      <w:r w:rsidR="00F12137">
        <w:rPr>
          <w:rFonts w:ascii="Times New Roman" w:hAnsi="Times New Roman" w:cs="Times New Roman"/>
        </w:rPr>
        <w:t>educ</w:t>
      </w:r>
      <w:proofErr w:type="spellEnd"/>
      <w:r w:rsidR="00F12137">
        <w:rPr>
          <w:rFonts w:ascii="Times New Roman" w:hAnsi="Times New Roman" w:cs="Times New Roman"/>
        </w:rPr>
        <w:t>.</w:t>
      </w:r>
      <w:r w:rsidR="00A25A79">
        <w:rPr>
          <w:rFonts w:ascii="Times New Roman" w:hAnsi="Times New Roman" w:cs="Times New Roman"/>
        </w:rPr>
        <w:t xml:space="preserve"> </w:t>
      </w:r>
    </w:p>
    <w:p w:rsidR="00BC3540" w:rsidRDefault="00BC3540" w:rsidP="00AB7942">
      <w:pPr>
        <w:jc w:val="both"/>
        <w:rPr>
          <w:rFonts w:ascii="Times New Roman" w:hAnsi="Times New Roman" w:cs="Times New Roman"/>
        </w:rPr>
      </w:pPr>
    </w:p>
    <w:p w:rsidR="00BC3540" w:rsidRPr="00AB7942" w:rsidRDefault="00BC3540" w:rsidP="00AB7942">
      <w:pPr>
        <w:jc w:val="both"/>
        <w:rPr>
          <w:rFonts w:ascii="Times New Roman" w:hAnsi="Times New Roman" w:cs="Times New Roman"/>
        </w:rPr>
      </w:pPr>
    </w:p>
    <w:p w:rsidR="00AB7942" w:rsidRPr="00AB7942" w:rsidRDefault="00AB7942" w:rsidP="00AB7942">
      <w:pPr>
        <w:rPr>
          <w:rFonts w:ascii="Times New Roman" w:hAnsi="Times New Roman" w:cs="Times New Roman"/>
        </w:rPr>
      </w:pPr>
    </w:p>
    <w:p w:rsidR="00AB7942" w:rsidRDefault="00AB7942" w:rsidP="00AB7942">
      <w:pPr>
        <w:jc w:val="both"/>
      </w:pPr>
    </w:p>
    <w:p w:rsidR="000A41A0" w:rsidRDefault="000A41A0" w:rsidP="000A41A0">
      <w:pPr>
        <w:jc w:val="both"/>
        <w:rPr>
          <w:rFonts w:ascii="Times New Roman" w:hAnsi="Times New Roman" w:cs="Times New Roman"/>
        </w:rPr>
      </w:pPr>
    </w:p>
    <w:p w:rsidR="000A41A0" w:rsidRPr="000A41A0" w:rsidRDefault="000A41A0" w:rsidP="000A41A0">
      <w:pPr>
        <w:jc w:val="both"/>
        <w:rPr>
          <w:rFonts w:ascii="Times New Roman" w:hAnsi="Times New Roman" w:cs="Times New Roman"/>
        </w:rPr>
      </w:pPr>
    </w:p>
    <w:p w:rsidR="000A41A0" w:rsidRDefault="000A41A0" w:rsidP="000A41A0">
      <w:pPr>
        <w:jc w:val="both"/>
      </w:pPr>
    </w:p>
    <w:p w:rsidR="000A41A0" w:rsidRPr="0009732C" w:rsidRDefault="000A41A0" w:rsidP="0009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3DDF" w:rsidRPr="002B43A6" w:rsidRDefault="00B23DDF" w:rsidP="002B43A6">
      <w:pPr>
        <w:jc w:val="both"/>
        <w:rPr>
          <w:rFonts w:ascii="Times New Roman" w:hAnsi="Times New Roman" w:cs="Times New Roman"/>
        </w:rPr>
      </w:pPr>
    </w:p>
    <w:sectPr w:rsidR="00B23DDF" w:rsidRPr="002B43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3D" w:rsidRDefault="008F2B3D" w:rsidP="00812FB0">
      <w:pPr>
        <w:spacing w:after="0" w:line="240" w:lineRule="auto"/>
      </w:pPr>
      <w:r>
        <w:separator/>
      </w:r>
    </w:p>
  </w:endnote>
  <w:endnote w:type="continuationSeparator" w:id="0">
    <w:p w:rsidR="008F2B3D" w:rsidRDefault="008F2B3D" w:rsidP="0081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000405"/>
      <w:docPartObj>
        <w:docPartGallery w:val="Page Numbers (Bottom of Page)"/>
        <w:docPartUnique/>
      </w:docPartObj>
    </w:sdtPr>
    <w:sdtEndPr/>
    <w:sdtContent>
      <w:p w:rsidR="00812FB0" w:rsidRDefault="00812FB0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FB0" w:rsidRPr="003B752C" w:rsidRDefault="00812FB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B752C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3B752C">
                                <w:rPr>
                                  <w:color w:val="000000" w:themeColor="text1"/>
                                </w:rPr>
                                <w:instrText>PAGE   \* MERGEFORMAT</w:instrText>
                              </w:r>
                              <w:r w:rsidRPr="003B752C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3B752C">
                                <w:rPr>
                                  <w:color w:val="000000" w:themeColor="text1"/>
                                </w:rPr>
                                <w:t>2</w:t>
                              </w:r>
                              <w:r w:rsidRPr="003B752C">
                                <w:rPr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812FB0" w:rsidRPr="003B752C" w:rsidRDefault="00812FB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</w:rPr>
                        </w:pPr>
                        <w:r w:rsidRPr="003B752C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3B752C">
                          <w:rPr>
                            <w:color w:val="000000" w:themeColor="text1"/>
                          </w:rPr>
                          <w:instrText>PAGE   \* MERGEFORMAT</w:instrText>
                        </w:r>
                        <w:r w:rsidRPr="003B752C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3B752C">
                          <w:rPr>
                            <w:color w:val="000000" w:themeColor="text1"/>
                          </w:rPr>
                          <w:t>2</w:t>
                        </w:r>
                        <w:r w:rsidRPr="003B752C">
                          <w:rPr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3D" w:rsidRDefault="008F2B3D" w:rsidP="00812FB0">
      <w:pPr>
        <w:spacing w:after="0" w:line="240" w:lineRule="auto"/>
      </w:pPr>
      <w:r>
        <w:separator/>
      </w:r>
    </w:p>
  </w:footnote>
  <w:footnote w:type="continuationSeparator" w:id="0">
    <w:p w:rsidR="008F2B3D" w:rsidRDefault="008F2B3D" w:rsidP="0081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F219B"/>
    <w:multiLevelType w:val="hybridMultilevel"/>
    <w:tmpl w:val="A6EC5EE8"/>
    <w:lvl w:ilvl="0" w:tplc="32C64440">
      <w:start w:val="26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90"/>
    <w:rsid w:val="00020F36"/>
    <w:rsid w:val="0006260E"/>
    <w:rsid w:val="000630E5"/>
    <w:rsid w:val="00066AFF"/>
    <w:rsid w:val="000743CD"/>
    <w:rsid w:val="00074C46"/>
    <w:rsid w:val="00081640"/>
    <w:rsid w:val="0009732C"/>
    <w:rsid w:val="000A41A0"/>
    <w:rsid w:val="000A5C28"/>
    <w:rsid w:val="000A7B19"/>
    <w:rsid w:val="000C4A5E"/>
    <w:rsid w:val="000D7F1E"/>
    <w:rsid w:val="000F29BA"/>
    <w:rsid w:val="00126B31"/>
    <w:rsid w:val="00170C23"/>
    <w:rsid w:val="001873FF"/>
    <w:rsid w:val="001949F7"/>
    <w:rsid w:val="00195A65"/>
    <w:rsid w:val="0019669F"/>
    <w:rsid w:val="001A1DB8"/>
    <w:rsid w:val="001B13FD"/>
    <w:rsid w:val="001C197A"/>
    <w:rsid w:val="001C55F8"/>
    <w:rsid w:val="001D4A80"/>
    <w:rsid w:val="001F04FE"/>
    <w:rsid w:val="001F3433"/>
    <w:rsid w:val="00211A91"/>
    <w:rsid w:val="00217A0E"/>
    <w:rsid w:val="00254AFD"/>
    <w:rsid w:val="00256688"/>
    <w:rsid w:val="00297765"/>
    <w:rsid w:val="00297D90"/>
    <w:rsid w:val="002B43A6"/>
    <w:rsid w:val="002C0B69"/>
    <w:rsid w:val="002D00D8"/>
    <w:rsid w:val="002D3BA1"/>
    <w:rsid w:val="00300A9D"/>
    <w:rsid w:val="003010D5"/>
    <w:rsid w:val="00315B49"/>
    <w:rsid w:val="003167F8"/>
    <w:rsid w:val="003405F5"/>
    <w:rsid w:val="00360F93"/>
    <w:rsid w:val="00397A62"/>
    <w:rsid w:val="003B13B7"/>
    <w:rsid w:val="003B3125"/>
    <w:rsid w:val="003B752C"/>
    <w:rsid w:val="003C219A"/>
    <w:rsid w:val="003D21EF"/>
    <w:rsid w:val="003E1BFD"/>
    <w:rsid w:val="003E3A26"/>
    <w:rsid w:val="003E6C21"/>
    <w:rsid w:val="003F082A"/>
    <w:rsid w:val="003F6A0E"/>
    <w:rsid w:val="00453643"/>
    <w:rsid w:val="00470588"/>
    <w:rsid w:val="004B2C8F"/>
    <w:rsid w:val="004D0856"/>
    <w:rsid w:val="004E1510"/>
    <w:rsid w:val="004E3608"/>
    <w:rsid w:val="00504CC7"/>
    <w:rsid w:val="00533208"/>
    <w:rsid w:val="0055671F"/>
    <w:rsid w:val="005567A2"/>
    <w:rsid w:val="00575884"/>
    <w:rsid w:val="005A441F"/>
    <w:rsid w:val="005A7CFE"/>
    <w:rsid w:val="005C6289"/>
    <w:rsid w:val="005E1FDB"/>
    <w:rsid w:val="005E7311"/>
    <w:rsid w:val="005F76B5"/>
    <w:rsid w:val="006423B7"/>
    <w:rsid w:val="00682797"/>
    <w:rsid w:val="00691D71"/>
    <w:rsid w:val="006969E8"/>
    <w:rsid w:val="006D0C01"/>
    <w:rsid w:val="006E7AD4"/>
    <w:rsid w:val="00733279"/>
    <w:rsid w:val="007333DC"/>
    <w:rsid w:val="00733548"/>
    <w:rsid w:val="007346FB"/>
    <w:rsid w:val="007422A5"/>
    <w:rsid w:val="0075785E"/>
    <w:rsid w:val="00782D26"/>
    <w:rsid w:val="007A07A8"/>
    <w:rsid w:val="007B683A"/>
    <w:rsid w:val="007C5F78"/>
    <w:rsid w:val="007D435D"/>
    <w:rsid w:val="007D47DA"/>
    <w:rsid w:val="00812FB0"/>
    <w:rsid w:val="008276A1"/>
    <w:rsid w:val="00842DC5"/>
    <w:rsid w:val="0087065C"/>
    <w:rsid w:val="00876E20"/>
    <w:rsid w:val="008B5150"/>
    <w:rsid w:val="008E64A3"/>
    <w:rsid w:val="008F2B3D"/>
    <w:rsid w:val="00902E56"/>
    <w:rsid w:val="00903FBD"/>
    <w:rsid w:val="00906A02"/>
    <w:rsid w:val="0091189D"/>
    <w:rsid w:val="00914107"/>
    <w:rsid w:val="00927093"/>
    <w:rsid w:val="00996AB9"/>
    <w:rsid w:val="009A0C87"/>
    <w:rsid w:val="009B4718"/>
    <w:rsid w:val="009D5E24"/>
    <w:rsid w:val="009E28EF"/>
    <w:rsid w:val="00A018ED"/>
    <w:rsid w:val="00A11DA9"/>
    <w:rsid w:val="00A17DBA"/>
    <w:rsid w:val="00A217DC"/>
    <w:rsid w:val="00A25A79"/>
    <w:rsid w:val="00A331AB"/>
    <w:rsid w:val="00A85F39"/>
    <w:rsid w:val="00A97373"/>
    <w:rsid w:val="00AA1C32"/>
    <w:rsid w:val="00AA3AD8"/>
    <w:rsid w:val="00AB2488"/>
    <w:rsid w:val="00AB2F87"/>
    <w:rsid w:val="00AB7942"/>
    <w:rsid w:val="00AD6A30"/>
    <w:rsid w:val="00AF47B2"/>
    <w:rsid w:val="00B00022"/>
    <w:rsid w:val="00B23DDF"/>
    <w:rsid w:val="00B34A1A"/>
    <w:rsid w:val="00B56AE8"/>
    <w:rsid w:val="00B75A90"/>
    <w:rsid w:val="00B9583D"/>
    <w:rsid w:val="00BC3540"/>
    <w:rsid w:val="00BC3788"/>
    <w:rsid w:val="00BC7C15"/>
    <w:rsid w:val="00BE675E"/>
    <w:rsid w:val="00C11164"/>
    <w:rsid w:val="00C14056"/>
    <w:rsid w:val="00C25A36"/>
    <w:rsid w:val="00C27BF3"/>
    <w:rsid w:val="00C33088"/>
    <w:rsid w:val="00C50548"/>
    <w:rsid w:val="00C5479C"/>
    <w:rsid w:val="00C92D5C"/>
    <w:rsid w:val="00C938FD"/>
    <w:rsid w:val="00C97DD2"/>
    <w:rsid w:val="00CA3496"/>
    <w:rsid w:val="00CA51AD"/>
    <w:rsid w:val="00CA5CD4"/>
    <w:rsid w:val="00CD4F3A"/>
    <w:rsid w:val="00CF5093"/>
    <w:rsid w:val="00D006CF"/>
    <w:rsid w:val="00D206D3"/>
    <w:rsid w:val="00D6339C"/>
    <w:rsid w:val="00D66F8F"/>
    <w:rsid w:val="00D71C82"/>
    <w:rsid w:val="00D753CA"/>
    <w:rsid w:val="00D8000E"/>
    <w:rsid w:val="00D8379B"/>
    <w:rsid w:val="00DD0232"/>
    <w:rsid w:val="00DD78A7"/>
    <w:rsid w:val="00DF5974"/>
    <w:rsid w:val="00E01F17"/>
    <w:rsid w:val="00E345F8"/>
    <w:rsid w:val="00E429BB"/>
    <w:rsid w:val="00E62061"/>
    <w:rsid w:val="00E64BF5"/>
    <w:rsid w:val="00EB2D01"/>
    <w:rsid w:val="00EE5295"/>
    <w:rsid w:val="00EF33F1"/>
    <w:rsid w:val="00EF3E8A"/>
    <w:rsid w:val="00EF5675"/>
    <w:rsid w:val="00F12137"/>
    <w:rsid w:val="00F14587"/>
    <w:rsid w:val="00F21C2B"/>
    <w:rsid w:val="00F44EF2"/>
    <w:rsid w:val="00F45A8F"/>
    <w:rsid w:val="00F462DD"/>
    <w:rsid w:val="00F57969"/>
    <w:rsid w:val="00F77858"/>
    <w:rsid w:val="00F77902"/>
    <w:rsid w:val="00F93478"/>
    <w:rsid w:val="00FF38A2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BDCBC"/>
  <w15:chartTrackingRefBased/>
  <w15:docId w15:val="{9308DC2F-0AE7-494D-9968-56FD3B11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79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1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2FB0"/>
  </w:style>
  <w:style w:type="paragraph" w:styleId="Podnoje">
    <w:name w:val="footer"/>
    <w:basedOn w:val="Normal"/>
    <w:link w:val="PodnojeChar"/>
    <w:uiPriority w:val="99"/>
    <w:unhideWhenUsed/>
    <w:rsid w:val="0081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631954035358335"/>
          <c:y val="0.13617343832021001"/>
          <c:w val="0.74128487785180686"/>
          <c:h val="0.66769498790817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1918292.85</c:v>
                </c:pt>
                <c:pt idx="1">
                  <c:v>1876967.5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D-493E-A9A1-69B9B076DCC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Prihodi</c:v>
                </c:pt>
                <c:pt idx="1">
                  <c:v>Rashodi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1853228.05</c:v>
                </c:pt>
                <c:pt idx="1">
                  <c:v>2006521.57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7D-493E-A9A1-69B9B076D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7509279"/>
        <c:axId val="847883759"/>
      </c:barChart>
      <c:catAx>
        <c:axId val="987509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47883759"/>
        <c:crosses val="autoZero"/>
        <c:auto val="1"/>
        <c:lblAlgn val="ctr"/>
        <c:lblOffset val="100"/>
        <c:noMultiLvlLbl val="0"/>
      </c:catAx>
      <c:valAx>
        <c:axId val="847883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87509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F7C8-DB6B-4208-9EA1-76E9BD4E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10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Sveti Petar Orehovec OŠ Sveti Petar Orehovec</dc:creator>
  <cp:keywords/>
  <dc:description/>
  <cp:lastModifiedBy>OŠ Sveti Petar Orehovec OŠ Sveti Petar Orehovec</cp:lastModifiedBy>
  <cp:revision>27</cp:revision>
  <dcterms:created xsi:type="dcterms:W3CDTF">2025-03-10T09:46:00Z</dcterms:created>
  <dcterms:modified xsi:type="dcterms:W3CDTF">2026-04-07T07:40:00Z</dcterms:modified>
</cp:coreProperties>
</file>